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B4" w:rsidRDefault="00CA6EA4" w:rsidP="00920679">
      <w:pPr>
        <w:rPr>
          <w:b/>
          <w:sz w:val="28"/>
        </w:rPr>
      </w:pPr>
      <w:r>
        <w:rPr>
          <w:b/>
          <w:noProof/>
          <w:sz w:val="28"/>
          <w:lang w:eastAsia="en-GB"/>
        </w:rPr>
        <w:drawing>
          <wp:inline distT="0" distB="0" distL="0" distR="0">
            <wp:extent cx="105198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384" cy="540702"/>
                    </a:xfrm>
                    <a:prstGeom prst="rect">
                      <a:avLst/>
                    </a:prstGeom>
                  </pic:spPr>
                </pic:pic>
              </a:graphicData>
            </a:graphic>
          </wp:inline>
        </w:drawing>
      </w:r>
    </w:p>
    <w:p w:rsidR="009B241A" w:rsidRPr="000C5A4C" w:rsidRDefault="00FC1A82" w:rsidP="00920679">
      <w:pPr>
        <w:rPr>
          <w:b/>
          <w:sz w:val="28"/>
        </w:rPr>
      </w:pPr>
      <w:r>
        <w:rPr>
          <w:b/>
          <w:sz w:val="28"/>
        </w:rPr>
        <w:t>Aeg</w:t>
      </w:r>
      <w:r w:rsidR="000E0236">
        <w:rPr>
          <w:b/>
          <w:sz w:val="28"/>
        </w:rPr>
        <w:t xml:space="preserve">rotat and Posthumous Awards </w:t>
      </w:r>
      <w:r w:rsidR="000C5A4C" w:rsidRPr="000C5A4C">
        <w:rPr>
          <w:b/>
          <w:sz w:val="28"/>
        </w:rPr>
        <w:t>Guidance</w:t>
      </w:r>
    </w:p>
    <w:p w:rsidR="002064DA" w:rsidRDefault="00023636" w:rsidP="00920679">
      <w:r w:rsidRPr="00E53F82">
        <w:t>As a guideli</w:t>
      </w:r>
      <w:r w:rsidR="00CF7C0B" w:rsidRPr="00E53F82">
        <w:t>ne the foll</w:t>
      </w:r>
      <w:r w:rsidRPr="00E53F82">
        <w:t xml:space="preserve">owing thresholds are </w:t>
      </w:r>
      <w:r w:rsidR="000E0236">
        <w:t>a</w:t>
      </w:r>
      <w:r w:rsidRPr="00E53F82">
        <w:t xml:space="preserve"> starting point for considering what </w:t>
      </w:r>
      <w:r w:rsidR="00475AD9" w:rsidRPr="00E53F82">
        <w:t xml:space="preserve">type of </w:t>
      </w:r>
      <w:r w:rsidRPr="00E53F82">
        <w:t>award should be issued</w:t>
      </w:r>
      <w:r w:rsidR="00350512" w:rsidRPr="00E53F82">
        <w:t xml:space="preserve"> for both Aegrotat and Posthumous awards</w:t>
      </w:r>
      <w:r w:rsidRPr="00E53F82">
        <w:t xml:space="preserve">.  </w:t>
      </w:r>
      <w:r w:rsidR="009B241A">
        <w:t>D</w:t>
      </w:r>
      <w:r w:rsidRPr="00E53F82">
        <w:t>ue</w:t>
      </w:r>
      <w:r w:rsidR="00CF7C0B" w:rsidRPr="00E53F82">
        <w:t xml:space="preserve"> to the sensitive nature of </w:t>
      </w:r>
      <w:r w:rsidR="009B241A">
        <w:t xml:space="preserve">such </w:t>
      </w:r>
      <w:r w:rsidR="00CF7C0B" w:rsidRPr="00E53F82">
        <w:t>awards</w:t>
      </w:r>
      <w:r w:rsidR="00581EE2">
        <w:t>,</w:t>
      </w:r>
      <w:r w:rsidR="00CF7C0B" w:rsidRPr="00E53F82">
        <w:t xml:space="preserve"> these are only a guide and other evidence can be drawn in as needed when the final award is being </w:t>
      </w:r>
      <w:r w:rsidR="006D1598" w:rsidRPr="00E53F82">
        <w:t>considered</w:t>
      </w:r>
      <w:r w:rsidR="00CF7C0B" w:rsidRPr="00E53F82">
        <w:t>.</w:t>
      </w:r>
      <w:r w:rsidR="00EB77E9">
        <w:t xml:space="preserve">  </w:t>
      </w:r>
      <w:r w:rsidR="000C5A4C">
        <w:t>Definitions</w:t>
      </w:r>
      <w:r w:rsidR="00B21EF2">
        <w:t xml:space="preserve"> and regulations can be found at</w:t>
      </w:r>
      <w:r w:rsidR="000C5A4C">
        <w:t xml:space="preserve"> Annex A.</w:t>
      </w:r>
    </w:p>
    <w:p w:rsidR="00581EE2" w:rsidRPr="00E53F82" w:rsidRDefault="00581EE2" w:rsidP="00581EE2">
      <w:r>
        <w:t xml:space="preserve">The award conferred </w:t>
      </w:r>
      <w:r w:rsidRPr="00E53F82">
        <w:t xml:space="preserve">will normally be the next exit award for which the student would have been eligible, based on the stage of the programme of study they had commenced.  All posthumous and Aegrotat awards </w:t>
      </w:r>
      <w:r>
        <w:t>will be</w:t>
      </w:r>
      <w:r w:rsidRPr="00E53F82">
        <w:t xml:space="preserve"> unclassified.</w:t>
      </w:r>
    </w:p>
    <w:p w:rsidR="00FE37ED" w:rsidRPr="009B241A" w:rsidRDefault="00FE37ED" w:rsidP="00920679">
      <w:pPr>
        <w:rPr>
          <w:b/>
          <w:sz w:val="24"/>
        </w:rPr>
      </w:pPr>
      <w:r w:rsidRPr="009B241A">
        <w:rPr>
          <w:b/>
          <w:sz w:val="24"/>
        </w:rPr>
        <w:t>Aegrotat thresholds</w:t>
      </w:r>
      <w:r w:rsidR="00353162" w:rsidRPr="009B241A">
        <w:rPr>
          <w:b/>
          <w:sz w:val="24"/>
        </w:rPr>
        <w:t>*</w:t>
      </w:r>
      <w:r w:rsidRPr="009B241A">
        <w:rPr>
          <w:b/>
          <w:sz w:val="24"/>
        </w:rPr>
        <w:t>:</w:t>
      </w:r>
    </w:p>
    <w:tbl>
      <w:tblPr>
        <w:tblStyle w:val="TableGrid"/>
        <w:tblW w:w="9478" w:type="dxa"/>
        <w:tblLayout w:type="fixed"/>
        <w:tblLook w:val="04A0" w:firstRow="1" w:lastRow="0" w:firstColumn="1" w:lastColumn="0" w:noHBand="0" w:noVBand="1"/>
      </w:tblPr>
      <w:tblGrid>
        <w:gridCol w:w="1620"/>
        <w:gridCol w:w="5009"/>
        <w:gridCol w:w="1417"/>
        <w:gridCol w:w="1432"/>
      </w:tblGrid>
      <w:tr w:rsidR="00350512" w:rsidRPr="00E53F82" w:rsidTr="00962567">
        <w:tc>
          <w:tcPr>
            <w:tcW w:w="1620" w:type="dxa"/>
          </w:tcPr>
          <w:p w:rsidR="00350512" w:rsidRPr="00E53F82" w:rsidRDefault="00FE37ED" w:rsidP="00920679">
            <w:pPr>
              <w:rPr>
                <w:b/>
              </w:rPr>
            </w:pPr>
            <w:r w:rsidRPr="00E53F82">
              <w:rPr>
                <w:b/>
              </w:rPr>
              <w:t>Level</w:t>
            </w:r>
          </w:p>
        </w:tc>
        <w:tc>
          <w:tcPr>
            <w:tcW w:w="5009" w:type="dxa"/>
          </w:tcPr>
          <w:p w:rsidR="00350512" w:rsidRDefault="00FE37ED" w:rsidP="00920679">
            <w:pPr>
              <w:rPr>
                <w:b/>
              </w:rPr>
            </w:pPr>
            <w:r w:rsidRPr="00E53F82">
              <w:rPr>
                <w:b/>
              </w:rPr>
              <w:t>Proposed Threshold</w:t>
            </w:r>
          </w:p>
          <w:p w:rsidR="00F01BF9" w:rsidRPr="00E53F82" w:rsidRDefault="00F01BF9" w:rsidP="00920679">
            <w:pPr>
              <w:rPr>
                <w:b/>
              </w:rPr>
            </w:pPr>
          </w:p>
        </w:tc>
        <w:tc>
          <w:tcPr>
            <w:tcW w:w="1417" w:type="dxa"/>
          </w:tcPr>
          <w:p w:rsidR="00350512" w:rsidRPr="00E53F82" w:rsidRDefault="0024535C" w:rsidP="00920679">
            <w:pPr>
              <w:rPr>
                <w:b/>
              </w:rPr>
            </w:pPr>
            <w:r w:rsidRPr="00E53F82">
              <w:rPr>
                <w:b/>
              </w:rPr>
              <w:t>Classification</w:t>
            </w:r>
          </w:p>
        </w:tc>
        <w:tc>
          <w:tcPr>
            <w:tcW w:w="1432" w:type="dxa"/>
          </w:tcPr>
          <w:p w:rsidR="00350512" w:rsidRPr="00E53F82" w:rsidRDefault="00FE37ED" w:rsidP="00920679">
            <w:pPr>
              <w:rPr>
                <w:b/>
              </w:rPr>
            </w:pPr>
            <w:r w:rsidRPr="00E53F82">
              <w:rPr>
                <w:b/>
              </w:rPr>
              <w:t xml:space="preserve">Title </w:t>
            </w:r>
          </w:p>
        </w:tc>
      </w:tr>
      <w:tr w:rsidR="00350512" w:rsidRPr="00E53F82" w:rsidTr="00962567">
        <w:tc>
          <w:tcPr>
            <w:tcW w:w="1620" w:type="dxa"/>
          </w:tcPr>
          <w:p w:rsidR="00350512" w:rsidRPr="00E53F82" w:rsidRDefault="00FE37ED" w:rsidP="00920679">
            <w:pPr>
              <w:rPr>
                <w:b/>
              </w:rPr>
            </w:pPr>
            <w:r w:rsidRPr="00E53F82">
              <w:rPr>
                <w:b/>
              </w:rPr>
              <w:t>Undergraduate</w:t>
            </w:r>
          </w:p>
        </w:tc>
        <w:tc>
          <w:tcPr>
            <w:tcW w:w="5009" w:type="dxa"/>
          </w:tcPr>
          <w:p w:rsidR="00350512" w:rsidRDefault="003A4A69" w:rsidP="002B1D6C">
            <w:r w:rsidRPr="00E53F82">
              <w:t xml:space="preserve">Awards </w:t>
            </w:r>
            <w:r w:rsidR="002B1D6C">
              <w:t>may be</w:t>
            </w:r>
            <w:r w:rsidRPr="00E53F82">
              <w:t xml:space="preserve"> given at the level at which the student was studying and t</w:t>
            </w:r>
            <w:r w:rsidR="001D5EC3" w:rsidRPr="00E53F82">
              <w:t>he candidate has achieved no fewer than 2/3rds of the credits re</w:t>
            </w:r>
            <w:r w:rsidRPr="00E53F82">
              <w:t>quired</w:t>
            </w:r>
            <w:r w:rsidR="00555706">
              <w:t>, or the equivalent,</w:t>
            </w:r>
            <w:r w:rsidRPr="00E53F82">
              <w:t xml:space="preserve"> at the appropriate level.  Up to Level 4 = CertHE; Up to Level 5 = DipHE; Up to </w:t>
            </w:r>
            <w:r w:rsidR="002B1D6C">
              <w:t>L</w:t>
            </w:r>
            <w:r w:rsidRPr="00E53F82">
              <w:t xml:space="preserve">evel 6 = Bachelor’s Degree ; </w:t>
            </w:r>
            <w:r w:rsidR="003B2501" w:rsidRPr="00E53F82">
              <w:t xml:space="preserve">Up to Level 7 = </w:t>
            </w:r>
            <w:r w:rsidR="003B2501">
              <w:t xml:space="preserve">Integrated </w:t>
            </w:r>
            <w:r w:rsidR="003B2501" w:rsidRPr="00E53F82">
              <w:t>Master’s Degree</w:t>
            </w:r>
          </w:p>
          <w:p w:rsidR="00102433" w:rsidRPr="00E53F82" w:rsidRDefault="00102433" w:rsidP="002B1D6C"/>
        </w:tc>
        <w:tc>
          <w:tcPr>
            <w:tcW w:w="1417" w:type="dxa"/>
          </w:tcPr>
          <w:p w:rsidR="00350512" w:rsidRPr="00E53F82" w:rsidRDefault="00FE37ED" w:rsidP="00920679">
            <w:pPr>
              <w:rPr>
                <w:b/>
              </w:rPr>
            </w:pPr>
            <w:r w:rsidRPr="00E53F82">
              <w:rPr>
                <w:b/>
              </w:rPr>
              <w:t>No</w:t>
            </w:r>
          </w:p>
        </w:tc>
        <w:tc>
          <w:tcPr>
            <w:tcW w:w="1432" w:type="dxa"/>
          </w:tcPr>
          <w:p w:rsidR="00350512" w:rsidRPr="00E53F82" w:rsidRDefault="001B5F05" w:rsidP="00920679">
            <w:r w:rsidRPr="00E53F82">
              <w:t xml:space="preserve">Aegrotat contained in award title </w:t>
            </w:r>
          </w:p>
        </w:tc>
      </w:tr>
      <w:tr w:rsidR="00455DB2" w:rsidRPr="00E53F82" w:rsidTr="00962567">
        <w:tc>
          <w:tcPr>
            <w:tcW w:w="1620" w:type="dxa"/>
          </w:tcPr>
          <w:p w:rsidR="00455DB2" w:rsidRPr="00E53F82" w:rsidRDefault="00455DB2" w:rsidP="00920679">
            <w:pPr>
              <w:rPr>
                <w:b/>
              </w:rPr>
            </w:pPr>
            <w:r w:rsidRPr="00E53F82">
              <w:rPr>
                <w:b/>
              </w:rPr>
              <w:t>Postgraduate Taught Certificates &amp; Diplomas</w:t>
            </w:r>
          </w:p>
        </w:tc>
        <w:tc>
          <w:tcPr>
            <w:tcW w:w="5009" w:type="dxa"/>
          </w:tcPr>
          <w:p w:rsidR="00102433" w:rsidRPr="00102433" w:rsidRDefault="00446F8E" w:rsidP="00102433">
            <w:pPr>
              <w:numPr>
                <w:ilvl w:val="0"/>
                <w:numId w:val="8"/>
              </w:numPr>
              <w:shd w:val="clear" w:color="auto" w:fill="FFFFFF"/>
              <w:ind w:left="11" w:hanging="357"/>
              <w:textAlignment w:val="baseline"/>
              <w:rPr>
                <w:rFonts w:eastAsia="Times New Roman" w:cs="Arial"/>
                <w:color w:val="000000"/>
                <w:lang w:eastAsia="en-GB"/>
              </w:rPr>
            </w:pPr>
            <w:r w:rsidRPr="00E53F82">
              <w:rPr>
                <w:rFonts w:eastAsia="Times New Roman" w:cs="Arial"/>
                <w:b/>
                <w:iCs/>
                <w:color w:val="000000"/>
                <w:bdr w:val="none" w:sz="0" w:space="0" w:color="auto" w:frame="1"/>
                <w:lang w:eastAsia="en-GB"/>
              </w:rPr>
              <w:t xml:space="preserve">After completion of the taught element of the </w:t>
            </w:r>
            <w:r w:rsidR="00DB0379">
              <w:rPr>
                <w:rFonts w:eastAsia="Times New Roman" w:cs="Arial"/>
                <w:b/>
                <w:iCs/>
                <w:color w:val="000000"/>
                <w:bdr w:val="none" w:sz="0" w:space="0" w:color="auto" w:frame="1"/>
                <w:lang w:eastAsia="en-GB"/>
              </w:rPr>
              <w:t>programme</w:t>
            </w:r>
            <w:r w:rsidRPr="00E53F82">
              <w:rPr>
                <w:rFonts w:eastAsia="Times New Roman" w:cs="Arial"/>
                <w:b/>
                <w:iCs/>
                <w:color w:val="000000"/>
                <w:bdr w:val="none" w:sz="0" w:space="0" w:color="auto" w:frame="1"/>
                <w:lang w:eastAsia="en-GB"/>
              </w:rPr>
              <w:t>, where the candidate has</w:t>
            </w:r>
            <w:r w:rsidR="00B52919">
              <w:rPr>
                <w:rFonts w:eastAsia="Times New Roman" w:cs="Arial"/>
                <w:b/>
                <w:iCs/>
                <w:color w:val="000000"/>
                <w:bdr w:val="none" w:sz="0" w:space="0" w:color="auto" w:frame="1"/>
                <w:lang w:eastAsia="en-GB"/>
              </w:rPr>
              <w:t xml:space="preserve"> normally completed some</w:t>
            </w:r>
            <w:r w:rsidRPr="00E53F82">
              <w:rPr>
                <w:rFonts w:eastAsia="Times New Roman" w:cs="Arial"/>
                <w:b/>
                <w:iCs/>
                <w:color w:val="000000"/>
                <w:bdr w:val="none" w:sz="0" w:space="0" w:color="auto" w:frame="1"/>
                <w:lang w:eastAsia="en-GB"/>
              </w:rPr>
              <w:t xml:space="preserve"> of the</w:t>
            </w:r>
            <w:r w:rsidR="00A71389" w:rsidRPr="00E53F82">
              <w:rPr>
                <w:rFonts w:eastAsia="Times New Roman" w:cs="Arial"/>
                <w:b/>
                <w:iCs/>
                <w:color w:val="000000"/>
                <w:bdr w:val="none" w:sz="0" w:space="0" w:color="auto" w:frame="1"/>
                <w:lang w:eastAsia="en-GB"/>
              </w:rPr>
              <w:t xml:space="preserve"> required </w:t>
            </w:r>
            <w:r w:rsidR="00B52919">
              <w:rPr>
                <w:rFonts w:eastAsia="Times New Roman" w:cs="Arial"/>
                <w:b/>
                <w:iCs/>
                <w:color w:val="000000"/>
                <w:bdr w:val="none" w:sz="0" w:space="0" w:color="auto" w:frame="1"/>
                <w:lang w:eastAsia="en-GB"/>
              </w:rPr>
              <w:t>assessments</w:t>
            </w:r>
            <w:r w:rsidR="00A71389" w:rsidRPr="00E53F82">
              <w:rPr>
                <w:rFonts w:eastAsia="Times New Roman" w:cs="Arial"/>
                <w:b/>
                <w:iCs/>
                <w:color w:val="000000"/>
                <w:bdr w:val="none" w:sz="0" w:space="0" w:color="auto" w:frame="1"/>
                <w:lang w:eastAsia="en-GB"/>
              </w:rPr>
              <w:t xml:space="preserve">, but is unable to complete the course due to ill health </w:t>
            </w:r>
            <w:r w:rsidRPr="00E53F82">
              <w:rPr>
                <w:rFonts w:eastAsia="Times New Roman" w:cs="Arial"/>
                <w:b/>
                <w:iCs/>
                <w:color w:val="000000"/>
                <w:bdr w:val="none" w:sz="0" w:space="0" w:color="auto" w:frame="1"/>
                <w:lang w:eastAsia="en-GB"/>
              </w:rPr>
              <w:t>before completion of all of the required examinations</w:t>
            </w:r>
            <w:r w:rsidR="002B1D6C">
              <w:rPr>
                <w:rFonts w:eastAsia="Times New Roman" w:cs="Arial"/>
                <w:b/>
                <w:iCs/>
                <w:color w:val="000000"/>
                <w:bdr w:val="none" w:sz="0" w:space="0" w:color="auto" w:frame="1"/>
                <w:lang w:eastAsia="en-GB"/>
              </w:rPr>
              <w:t>:</w:t>
            </w:r>
            <w:r w:rsidRPr="00E53F82">
              <w:rPr>
                <w:rFonts w:eastAsia="Times New Roman" w:cs="Arial"/>
                <w:color w:val="000000"/>
                <w:bdr w:val="none" w:sz="0" w:space="0" w:color="auto" w:frame="1"/>
                <w:lang w:eastAsia="en-GB"/>
              </w:rPr>
              <w:t> </w:t>
            </w:r>
          </w:p>
          <w:p w:rsidR="00446F8E" w:rsidRPr="00102433" w:rsidRDefault="00446F8E" w:rsidP="00102433">
            <w:pPr>
              <w:numPr>
                <w:ilvl w:val="0"/>
                <w:numId w:val="8"/>
              </w:numPr>
              <w:shd w:val="clear" w:color="auto" w:fill="FFFFFF"/>
              <w:ind w:left="11" w:hanging="357"/>
              <w:textAlignment w:val="baseline"/>
              <w:rPr>
                <w:rFonts w:eastAsia="Times New Roman" w:cs="Arial"/>
                <w:color w:val="000000"/>
                <w:lang w:eastAsia="en-GB"/>
              </w:rPr>
            </w:pPr>
            <w:r w:rsidRPr="00E53F82">
              <w:rPr>
                <w:rFonts w:eastAsia="Times New Roman" w:cs="Arial"/>
                <w:color w:val="000000"/>
                <w:bdr w:val="none" w:sz="0" w:space="0" w:color="auto" w:frame="1"/>
                <w:lang w:eastAsia="en-GB"/>
              </w:rPr>
              <w:br/>
              <w:t xml:space="preserve">In such a case, the </w:t>
            </w:r>
            <w:r w:rsidR="00C95E95">
              <w:t xml:space="preserve">PVC Education </w:t>
            </w:r>
            <w:r w:rsidR="002E58A6">
              <w:t xml:space="preserve">in their capacity as </w:t>
            </w:r>
            <w:r w:rsidR="007B440F">
              <w:t>Chair of University Exam Board</w:t>
            </w:r>
            <w:r w:rsidR="009B241A">
              <w:t>, shall</w:t>
            </w:r>
            <w:r w:rsidRPr="00E53F82">
              <w:rPr>
                <w:rFonts w:eastAsia="Times New Roman" w:cs="Arial"/>
                <w:color w:val="000000"/>
                <w:bdr w:val="none" w:sz="0" w:space="0" w:color="auto" w:frame="1"/>
                <w:lang w:eastAsia="en-GB"/>
              </w:rPr>
              <w:t xml:space="preserve"> consider the candidate's performance in the completed examinations and in the coursework submitted and award the original qualification aim if performance is deemed to be satisfactory to suggest completion would have been likely.  </w:t>
            </w:r>
          </w:p>
          <w:p w:rsidR="00102433" w:rsidRPr="00E53F82" w:rsidRDefault="00102433" w:rsidP="00102433">
            <w:pPr>
              <w:numPr>
                <w:ilvl w:val="0"/>
                <w:numId w:val="8"/>
              </w:numPr>
              <w:shd w:val="clear" w:color="auto" w:fill="FFFFFF"/>
              <w:ind w:left="11" w:hanging="357"/>
              <w:textAlignment w:val="baseline"/>
              <w:rPr>
                <w:rFonts w:eastAsia="Times New Roman" w:cs="Arial"/>
                <w:color w:val="000000"/>
                <w:lang w:eastAsia="en-GB"/>
              </w:rPr>
            </w:pPr>
          </w:p>
          <w:p w:rsidR="00455DB2" w:rsidRDefault="00446F8E" w:rsidP="007B440F">
            <w:pPr>
              <w:rPr>
                <w:rFonts w:eastAsia="Times New Roman" w:cs="Arial"/>
                <w:color w:val="000000"/>
                <w:bdr w:val="none" w:sz="0" w:space="0" w:color="auto" w:frame="1"/>
                <w:lang w:eastAsia="en-GB"/>
              </w:rPr>
            </w:pPr>
            <w:r w:rsidRPr="00E53F82">
              <w:rPr>
                <w:rFonts w:eastAsia="Times New Roman" w:cs="Arial"/>
                <w:b/>
                <w:iCs/>
                <w:color w:val="000000"/>
                <w:bdr w:val="none" w:sz="0" w:space="0" w:color="auto" w:frame="1"/>
                <w:lang w:eastAsia="en-GB"/>
              </w:rPr>
              <w:t xml:space="preserve">Prior to completion of the taught element of the </w:t>
            </w:r>
            <w:r w:rsidR="00DB0379">
              <w:rPr>
                <w:rFonts w:eastAsia="Times New Roman" w:cs="Arial"/>
                <w:b/>
                <w:iCs/>
                <w:color w:val="000000"/>
                <w:bdr w:val="none" w:sz="0" w:space="0" w:color="auto" w:frame="1"/>
                <w:lang w:eastAsia="en-GB"/>
              </w:rPr>
              <w:t>programme</w:t>
            </w:r>
            <w:r w:rsidRPr="00E53F82">
              <w:rPr>
                <w:rFonts w:eastAsia="Times New Roman" w:cs="Arial"/>
                <w:b/>
                <w:iCs/>
                <w:color w:val="000000"/>
                <w:bdr w:val="none" w:sz="0" w:space="0" w:color="auto" w:frame="1"/>
                <w:lang w:eastAsia="en-GB"/>
              </w:rPr>
              <w:t>:</w:t>
            </w:r>
            <w:r w:rsidRPr="00E53F82">
              <w:rPr>
                <w:rFonts w:eastAsia="Times New Roman" w:cs="Arial"/>
                <w:color w:val="000000"/>
                <w:bdr w:val="none" w:sz="0" w:space="0" w:color="auto" w:frame="1"/>
                <w:lang w:eastAsia="en-GB"/>
              </w:rPr>
              <w:br/>
              <w:t xml:space="preserve">In such a case, provided that the candidate has </w:t>
            </w:r>
            <w:r w:rsidR="00B52919">
              <w:rPr>
                <w:rFonts w:eastAsia="Times New Roman" w:cs="Arial"/>
                <w:color w:val="000000"/>
                <w:bdr w:val="none" w:sz="0" w:space="0" w:color="auto" w:frame="1"/>
                <w:lang w:eastAsia="en-GB"/>
              </w:rPr>
              <w:t xml:space="preserve">normally </w:t>
            </w:r>
            <w:r w:rsidRPr="00E53F82">
              <w:rPr>
                <w:rFonts w:eastAsia="Times New Roman" w:cs="Arial"/>
                <w:color w:val="000000"/>
                <w:bdr w:val="none" w:sz="0" w:space="0" w:color="auto" w:frame="1"/>
                <w:lang w:eastAsia="en-GB"/>
              </w:rPr>
              <w:t xml:space="preserve">completed two thirds of </w:t>
            </w:r>
            <w:r w:rsidR="00B52919">
              <w:rPr>
                <w:rFonts w:eastAsia="Times New Roman" w:cs="Arial"/>
                <w:color w:val="000000"/>
                <w:bdr w:val="none" w:sz="0" w:space="0" w:color="auto" w:frame="1"/>
                <w:lang w:eastAsia="en-GB"/>
              </w:rPr>
              <w:t xml:space="preserve">the taught part </w:t>
            </w:r>
            <w:r w:rsidR="00CC1A56">
              <w:rPr>
                <w:rFonts w:eastAsia="Times New Roman" w:cs="Arial"/>
                <w:color w:val="000000"/>
                <w:bdr w:val="none" w:sz="0" w:space="0" w:color="auto" w:frame="1"/>
                <w:lang w:eastAsia="en-GB"/>
              </w:rPr>
              <w:t xml:space="preserve">of </w:t>
            </w:r>
            <w:r w:rsidR="00B52919">
              <w:rPr>
                <w:rFonts w:eastAsia="Times New Roman" w:cs="Arial"/>
                <w:color w:val="000000"/>
                <w:bdr w:val="none" w:sz="0" w:space="0" w:color="auto" w:frame="1"/>
                <w:lang w:eastAsia="en-GB"/>
              </w:rPr>
              <w:t xml:space="preserve">the </w:t>
            </w:r>
            <w:r w:rsidR="00DB0379">
              <w:rPr>
                <w:rFonts w:eastAsia="Times New Roman" w:cs="Arial"/>
                <w:color w:val="000000"/>
                <w:bdr w:val="none" w:sz="0" w:space="0" w:color="auto" w:frame="1"/>
                <w:lang w:eastAsia="en-GB"/>
              </w:rPr>
              <w:t>programme</w:t>
            </w:r>
            <w:r w:rsidR="00B52919">
              <w:rPr>
                <w:rFonts w:eastAsia="Times New Roman" w:cs="Arial"/>
                <w:color w:val="000000"/>
                <w:bdr w:val="none" w:sz="0" w:space="0" w:color="auto" w:frame="1"/>
                <w:lang w:eastAsia="en-GB"/>
              </w:rPr>
              <w:t xml:space="preserve">, </w:t>
            </w:r>
            <w:r w:rsidRPr="00E53F82">
              <w:rPr>
                <w:rFonts w:eastAsia="Times New Roman" w:cs="Arial"/>
                <w:color w:val="000000"/>
                <w:bdr w:val="none" w:sz="0" w:space="0" w:color="auto" w:frame="1"/>
                <w:lang w:eastAsia="en-GB"/>
              </w:rPr>
              <w:t xml:space="preserve">the </w:t>
            </w:r>
            <w:r w:rsidR="00C95E95">
              <w:t xml:space="preserve">PVC Education </w:t>
            </w:r>
            <w:r w:rsidR="002E58A6">
              <w:t>in their capacity as</w:t>
            </w:r>
            <w:r w:rsidR="00C95E95">
              <w:t xml:space="preserve"> Chair of University Exam Board, </w:t>
            </w:r>
            <w:r w:rsidRPr="00E53F82">
              <w:rPr>
                <w:rFonts w:eastAsia="Times New Roman" w:cs="Arial"/>
                <w:color w:val="000000"/>
                <w:bdr w:val="none" w:sz="0" w:space="0" w:color="auto" w:frame="1"/>
                <w:lang w:eastAsia="en-GB"/>
              </w:rPr>
              <w:t xml:space="preserve">shall consider the candidate's performance in the completed examinations and in the coursework submitted and award the original qualification aim if performance is deemed to be satisfactory to suggest completion </w:t>
            </w:r>
            <w:r w:rsidRPr="00E53F82">
              <w:rPr>
                <w:rFonts w:eastAsia="Times New Roman" w:cs="Arial"/>
                <w:color w:val="000000"/>
                <w:bdr w:val="none" w:sz="0" w:space="0" w:color="auto" w:frame="1"/>
                <w:lang w:eastAsia="en-GB"/>
              </w:rPr>
              <w:lastRenderedPageBreak/>
              <w:t>would have been likely</w:t>
            </w:r>
          </w:p>
          <w:p w:rsidR="000C5A4C" w:rsidRDefault="000C5A4C" w:rsidP="007B440F">
            <w:pPr>
              <w:rPr>
                <w:rFonts w:eastAsia="Times New Roman" w:cs="Arial"/>
                <w:color w:val="000000"/>
                <w:bdr w:val="none" w:sz="0" w:space="0" w:color="auto" w:frame="1"/>
                <w:lang w:eastAsia="en-GB"/>
              </w:rPr>
            </w:pPr>
          </w:p>
          <w:p w:rsidR="00102433" w:rsidRPr="00E53F82" w:rsidRDefault="00102433" w:rsidP="007B440F">
            <w:pPr>
              <w:rPr>
                <w:b/>
              </w:rPr>
            </w:pPr>
          </w:p>
        </w:tc>
        <w:tc>
          <w:tcPr>
            <w:tcW w:w="1417" w:type="dxa"/>
          </w:tcPr>
          <w:p w:rsidR="00455DB2" w:rsidRPr="00E53F82" w:rsidRDefault="0047311E" w:rsidP="00920679">
            <w:pPr>
              <w:rPr>
                <w:b/>
              </w:rPr>
            </w:pPr>
            <w:r w:rsidRPr="00E53F82">
              <w:rPr>
                <w:b/>
              </w:rPr>
              <w:lastRenderedPageBreak/>
              <w:t>No</w:t>
            </w:r>
          </w:p>
        </w:tc>
        <w:tc>
          <w:tcPr>
            <w:tcW w:w="1432" w:type="dxa"/>
          </w:tcPr>
          <w:p w:rsidR="00455DB2" w:rsidRPr="00E53F82" w:rsidRDefault="0047311E" w:rsidP="00920679">
            <w:r w:rsidRPr="00E53F82">
              <w:t>Aegrotat contained in award title</w:t>
            </w:r>
          </w:p>
        </w:tc>
      </w:tr>
      <w:tr w:rsidR="003A4A69" w:rsidRPr="00E53F82" w:rsidTr="00962567">
        <w:tc>
          <w:tcPr>
            <w:tcW w:w="1620" w:type="dxa"/>
          </w:tcPr>
          <w:p w:rsidR="003A4A69" w:rsidRPr="00E53F82" w:rsidRDefault="003A4A69" w:rsidP="00920679">
            <w:pPr>
              <w:rPr>
                <w:b/>
              </w:rPr>
            </w:pPr>
            <w:r w:rsidRPr="00E53F82">
              <w:rPr>
                <w:b/>
              </w:rPr>
              <w:t xml:space="preserve">Postgraduate Taught </w:t>
            </w:r>
            <w:r w:rsidR="00455DB2" w:rsidRPr="00E53F82">
              <w:rPr>
                <w:b/>
              </w:rPr>
              <w:t xml:space="preserve">Masters </w:t>
            </w:r>
          </w:p>
        </w:tc>
        <w:tc>
          <w:tcPr>
            <w:tcW w:w="5009" w:type="dxa"/>
          </w:tcPr>
          <w:p w:rsidR="00A71389" w:rsidRDefault="00A71389" w:rsidP="00A71389">
            <w:pPr>
              <w:rPr>
                <w:rFonts w:eastAsia="Times New Roman" w:cs="Arial"/>
                <w:color w:val="000000"/>
                <w:bdr w:val="none" w:sz="0" w:space="0" w:color="auto" w:frame="1"/>
                <w:lang w:eastAsia="en-GB"/>
              </w:rPr>
            </w:pPr>
            <w:r w:rsidRPr="00E53F82">
              <w:rPr>
                <w:b/>
              </w:rPr>
              <w:t xml:space="preserve">Taught Component:  </w:t>
            </w:r>
            <w:r w:rsidR="00C95E95">
              <w:t xml:space="preserve">PVC Education </w:t>
            </w:r>
            <w:r w:rsidR="002E58A6">
              <w:t>in their capacity as</w:t>
            </w:r>
            <w:r w:rsidR="00C95E95">
              <w:t xml:space="preserve"> Chair of University Exam Board,</w:t>
            </w:r>
            <w:r w:rsidR="00B52919">
              <w:t xml:space="preserve"> </w:t>
            </w:r>
            <w:r w:rsidRPr="00E53F82">
              <w:rPr>
                <w:rFonts w:eastAsia="Times New Roman" w:cs="Arial"/>
                <w:color w:val="000000"/>
                <w:bdr w:val="none" w:sz="0" w:space="0" w:color="auto" w:frame="1"/>
                <w:lang w:eastAsia="en-GB"/>
              </w:rPr>
              <w:t>may approve the award</w:t>
            </w:r>
            <w:r w:rsidR="00475AD9" w:rsidRPr="00E53F82">
              <w:rPr>
                <w:rFonts w:eastAsia="Times New Roman" w:cs="Arial"/>
                <w:color w:val="000000"/>
                <w:bdr w:val="none" w:sz="0" w:space="0" w:color="auto" w:frame="1"/>
                <w:lang w:eastAsia="en-GB"/>
              </w:rPr>
              <w:t xml:space="preserve"> (by considering  the candidate's performance in the completed examinations and/or in the coursework submitted)</w:t>
            </w:r>
            <w:r w:rsidRPr="00E53F82">
              <w:rPr>
                <w:rFonts w:eastAsia="Times New Roman" w:cs="Arial"/>
                <w:color w:val="000000"/>
                <w:bdr w:val="none" w:sz="0" w:space="0" w:color="auto" w:frame="1"/>
                <w:lang w:eastAsia="en-GB"/>
              </w:rPr>
              <w:t xml:space="preserve"> of a Postgraduate Diploma to a candidate for a Master's degree </w:t>
            </w:r>
            <w:r w:rsidR="00DB0379">
              <w:rPr>
                <w:rFonts w:eastAsia="Times New Roman" w:cs="Arial"/>
                <w:color w:val="000000"/>
                <w:bdr w:val="none" w:sz="0" w:space="0" w:color="auto" w:frame="1"/>
                <w:lang w:eastAsia="en-GB"/>
              </w:rPr>
              <w:t>programme</w:t>
            </w:r>
            <w:r w:rsidRPr="00E53F82">
              <w:rPr>
                <w:rFonts w:eastAsia="Times New Roman" w:cs="Arial"/>
                <w:color w:val="000000"/>
                <w:bdr w:val="none" w:sz="0" w:space="0" w:color="auto" w:frame="1"/>
                <w:lang w:eastAsia="en-GB"/>
              </w:rPr>
              <w:t xml:space="preserve"> (regardless of whether a Diploma has been approved for the </w:t>
            </w:r>
            <w:r w:rsidR="00DB0379">
              <w:rPr>
                <w:rFonts w:eastAsia="Times New Roman" w:cs="Arial"/>
                <w:color w:val="000000"/>
                <w:bdr w:val="none" w:sz="0" w:space="0" w:color="auto" w:frame="1"/>
                <w:lang w:eastAsia="en-GB"/>
              </w:rPr>
              <w:t>programme</w:t>
            </w:r>
            <w:r w:rsidR="00DB0379" w:rsidRPr="00E53F82">
              <w:rPr>
                <w:rFonts w:eastAsia="Times New Roman" w:cs="Arial"/>
                <w:color w:val="000000"/>
                <w:bdr w:val="none" w:sz="0" w:space="0" w:color="auto" w:frame="1"/>
                <w:lang w:eastAsia="en-GB"/>
              </w:rPr>
              <w:t xml:space="preserve"> </w:t>
            </w:r>
            <w:r w:rsidRPr="00E53F82">
              <w:rPr>
                <w:rFonts w:eastAsia="Times New Roman" w:cs="Arial"/>
                <w:color w:val="000000"/>
                <w:bdr w:val="none" w:sz="0" w:space="0" w:color="auto" w:frame="1"/>
                <w:lang w:eastAsia="en-GB"/>
              </w:rPr>
              <w:t xml:space="preserve">in question) where a candidate has </w:t>
            </w:r>
            <w:r w:rsidR="00475AD9" w:rsidRPr="00E53F82">
              <w:rPr>
                <w:rFonts w:eastAsia="Times New Roman" w:cs="Arial"/>
                <w:color w:val="000000"/>
                <w:bdr w:val="none" w:sz="0" w:space="0" w:color="auto" w:frame="1"/>
                <w:lang w:eastAsia="en-GB"/>
              </w:rPr>
              <w:t>become too unwell to proceed</w:t>
            </w:r>
            <w:r w:rsidRPr="00E53F82">
              <w:rPr>
                <w:rFonts w:eastAsia="Times New Roman" w:cs="Arial"/>
                <w:color w:val="000000"/>
                <w:bdr w:val="none" w:sz="0" w:space="0" w:color="auto" w:frame="1"/>
                <w:lang w:eastAsia="en-GB"/>
              </w:rPr>
              <w:t xml:space="preserve"> :</w:t>
            </w:r>
          </w:p>
          <w:p w:rsidR="00102433" w:rsidRPr="00E53F82" w:rsidRDefault="00102433" w:rsidP="00A71389">
            <w:pPr>
              <w:rPr>
                <w:b/>
              </w:rPr>
            </w:pPr>
          </w:p>
          <w:p w:rsidR="00A71389" w:rsidRPr="00102433" w:rsidRDefault="00475AD9" w:rsidP="00102433">
            <w:pPr>
              <w:numPr>
                <w:ilvl w:val="1"/>
                <w:numId w:val="6"/>
              </w:numPr>
              <w:shd w:val="clear" w:color="auto" w:fill="FFFFFF"/>
              <w:ind w:left="28"/>
              <w:textAlignment w:val="baseline"/>
              <w:rPr>
                <w:rFonts w:eastAsia="Times New Roman" w:cs="Arial"/>
                <w:color w:val="000000"/>
                <w:lang w:eastAsia="en-GB"/>
              </w:rPr>
            </w:pPr>
            <w:r w:rsidRPr="00E53F82">
              <w:rPr>
                <w:rFonts w:eastAsia="Times New Roman" w:cs="Arial"/>
                <w:i/>
                <w:iCs/>
                <w:color w:val="000000"/>
                <w:bdr w:val="none" w:sz="0" w:space="0" w:color="auto" w:frame="1"/>
                <w:lang w:eastAsia="en-GB"/>
              </w:rPr>
              <w:t xml:space="preserve">1) </w:t>
            </w:r>
            <w:r w:rsidR="00A71389" w:rsidRPr="00E53F82">
              <w:rPr>
                <w:rFonts w:eastAsia="Times New Roman" w:cs="Arial"/>
                <w:i/>
                <w:iCs/>
                <w:color w:val="000000"/>
                <w:bdr w:val="none" w:sz="0" w:space="0" w:color="auto" w:frame="1"/>
                <w:lang w:eastAsia="en-GB"/>
              </w:rPr>
              <w:t xml:space="preserve">after completion of the taught element of the </w:t>
            </w:r>
            <w:r w:rsidR="00DB0379">
              <w:rPr>
                <w:rFonts w:eastAsia="Times New Roman" w:cs="Arial"/>
                <w:i/>
                <w:iCs/>
                <w:color w:val="000000"/>
                <w:bdr w:val="none" w:sz="0" w:space="0" w:color="auto" w:frame="1"/>
                <w:lang w:eastAsia="en-GB"/>
              </w:rPr>
              <w:t>programme</w:t>
            </w:r>
            <w:r w:rsidR="00A71389" w:rsidRPr="00E53F82">
              <w:rPr>
                <w:rFonts w:eastAsia="Times New Roman" w:cs="Arial"/>
                <w:i/>
                <w:iCs/>
                <w:color w:val="000000"/>
                <w:bdr w:val="none" w:sz="0" w:space="0" w:color="auto" w:frame="1"/>
                <w:lang w:eastAsia="en-GB"/>
              </w:rPr>
              <w:t xml:space="preserve">, where the candidate has passed all of the required </w:t>
            </w:r>
            <w:r w:rsidR="007F0A57">
              <w:rPr>
                <w:rFonts w:eastAsia="Times New Roman" w:cs="Arial"/>
                <w:i/>
                <w:iCs/>
                <w:color w:val="000000"/>
                <w:bdr w:val="none" w:sz="0" w:space="0" w:color="auto" w:frame="1"/>
                <w:lang w:eastAsia="en-GB"/>
              </w:rPr>
              <w:t>assessments</w:t>
            </w:r>
            <w:r w:rsidR="00A71389" w:rsidRPr="00E53F82">
              <w:rPr>
                <w:rFonts w:eastAsia="Times New Roman" w:cs="Arial"/>
                <w:i/>
                <w:iCs/>
                <w:color w:val="000000"/>
                <w:bdr w:val="none" w:sz="0" w:space="0" w:color="auto" w:frame="1"/>
                <w:lang w:eastAsia="en-GB"/>
              </w:rPr>
              <w:t xml:space="preserve">, but has </w:t>
            </w:r>
            <w:r w:rsidRPr="00E53F82">
              <w:rPr>
                <w:rFonts w:eastAsia="Times New Roman" w:cs="Arial"/>
                <w:color w:val="000000"/>
                <w:bdr w:val="none" w:sz="0" w:space="0" w:color="auto" w:frame="1"/>
                <w:lang w:eastAsia="en-GB"/>
              </w:rPr>
              <w:t xml:space="preserve">become too unwell to proceed </w:t>
            </w:r>
            <w:r w:rsidR="00A71389" w:rsidRPr="00E53F82">
              <w:rPr>
                <w:rFonts w:eastAsia="Times New Roman" w:cs="Arial"/>
                <w:i/>
                <w:iCs/>
                <w:color w:val="000000"/>
                <w:bdr w:val="none" w:sz="0" w:space="0" w:color="auto" w:frame="1"/>
                <w:lang w:eastAsia="en-GB"/>
              </w:rPr>
              <w:t>before commencing the Master's dissertation;</w:t>
            </w:r>
            <w:r w:rsidRPr="00E53F82">
              <w:rPr>
                <w:rFonts w:eastAsia="Times New Roman" w:cs="Arial"/>
                <w:i/>
                <w:iCs/>
                <w:color w:val="000000"/>
                <w:bdr w:val="none" w:sz="0" w:space="0" w:color="auto" w:frame="1"/>
                <w:lang w:eastAsia="en-GB"/>
              </w:rPr>
              <w:t xml:space="preserve"> or</w:t>
            </w:r>
          </w:p>
          <w:p w:rsidR="00102433" w:rsidRPr="00E53F82" w:rsidRDefault="00102433" w:rsidP="00102433">
            <w:pPr>
              <w:numPr>
                <w:ilvl w:val="1"/>
                <w:numId w:val="6"/>
              </w:numPr>
              <w:shd w:val="clear" w:color="auto" w:fill="FFFFFF"/>
              <w:ind w:left="28"/>
              <w:textAlignment w:val="baseline"/>
              <w:rPr>
                <w:rFonts w:eastAsia="Times New Roman" w:cs="Arial"/>
                <w:color w:val="000000"/>
                <w:lang w:eastAsia="en-GB"/>
              </w:rPr>
            </w:pPr>
          </w:p>
          <w:p w:rsidR="00102433" w:rsidRPr="00102433" w:rsidRDefault="00475AD9" w:rsidP="00102433">
            <w:pPr>
              <w:numPr>
                <w:ilvl w:val="1"/>
                <w:numId w:val="6"/>
              </w:numPr>
              <w:shd w:val="clear" w:color="auto" w:fill="FFFFFF"/>
              <w:ind w:left="28"/>
              <w:textAlignment w:val="baseline"/>
              <w:rPr>
                <w:rFonts w:eastAsia="Times New Roman" w:cs="Arial"/>
                <w:color w:val="000000"/>
                <w:lang w:eastAsia="en-GB"/>
              </w:rPr>
            </w:pPr>
            <w:r w:rsidRPr="00E53F82">
              <w:rPr>
                <w:rFonts w:eastAsia="Times New Roman" w:cs="Arial"/>
                <w:i/>
                <w:iCs/>
                <w:color w:val="000000"/>
                <w:bdr w:val="none" w:sz="0" w:space="0" w:color="auto" w:frame="1"/>
                <w:lang w:eastAsia="en-GB"/>
              </w:rPr>
              <w:t xml:space="preserve">2) </w:t>
            </w:r>
            <w:r w:rsidR="00A71389" w:rsidRPr="00E53F82">
              <w:rPr>
                <w:rFonts w:eastAsia="Times New Roman" w:cs="Arial"/>
                <w:i/>
                <w:iCs/>
                <w:color w:val="000000"/>
                <w:bdr w:val="none" w:sz="0" w:space="0" w:color="auto" w:frame="1"/>
                <w:lang w:eastAsia="en-GB"/>
              </w:rPr>
              <w:t xml:space="preserve">after completion of the taught element of the </w:t>
            </w:r>
            <w:r w:rsidR="00DB0379">
              <w:rPr>
                <w:rFonts w:eastAsia="Times New Roman" w:cs="Arial"/>
                <w:i/>
                <w:iCs/>
                <w:color w:val="000000"/>
                <w:bdr w:val="none" w:sz="0" w:space="0" w:color="auto" w:frame="1"/>
                <w:lang w:eastAsia="en-GB"/>
              </w:rPr>
              <w:t>programme</w:t>
            </w:r>
            <w:r w:rsidR="00A71389" w:rsidRPr="00E53F82">
              <w:rPr>
                <w:rFonts w:eastAsia="Times New Roman" w:cs="Arial"/>
                <w:i/>
                <w:iCs/>
                <w:color w:val="000000"/>
                <w:bdr w:val="none" w:sz="0" w:space="0" w:color="auto" w:frame="1"/>
                <w:lang w:eastAsia="en-GB"/>
              </w:rPr>
              <w:t xml:space="preserve">, where the candidate has taken some of the required </w:t>
            </w:r>
            <w:r w:rsidR="007F0A57">
              <w:rPr>
                <w:rFonts w:eastAsia="Times New Roman" w:cs="Arial"/>
                <w:i/>
                <w:iCs/>
                <w:color w:val="000000"/>
                <w:bdr w:val="none" w:sz="0" w:space="0" w:color="auto" w:frame="1"/>
                <w:lang w:eastAsia="en-GB"/>
              </w:rPr>
              <w:t>assessments for a PG Diploma</w:t>
            </w:r>
            <w:r w:rsidR="00A71389" w:rsidRPr="00E53F82">
              <w:rPr>
                <w:rFonts w:eastAsia="Times New Roman" w:cs="Arial"/>
                <w:i/>
                <w:iCs/>
                <w:color w:val="000000"/>
                <w:bdr w:val="none" w:sz="0" w:space="0" w:color="auto" w:frame="1"/>
                <w:lang w:eastAsia="en-GB"/>
              </w:rPr>
              <w:t xml:space="preserve">, but has </w:t>
            </w:r>
            <w:r w:rsidRPr="00E53F82">
              <w:rPr>
                <w:rFonts w:eastAsia="Times New Roman" w:cs="Arial"/>
                <w:color w:val="000000"/>
                <w:bdr w:val="none" w:sz="0" w:space="0" w:color="auto" w:frame="1"/>
                <w:lang w:eastAsia="en-GB"/>
              </w:rPr>
              <w:t xml:space="preserve">become too unwell to proceed </w:t>
            </w:r>
            <w:r w:rsidR="00A71389" w:rsidRPr="00E53F82">
              <w:rPr>
                <w:rFonts w:eastAsia="Times New Roman" w:cs="Arial"/>
                <w:i/>
                <w:iCs/>
                <w:color w:val="000000"/>
                <w:bdr w:val="none" w:sz="0" w:space="0" w:color="auto" w:frame="1"/>
                <w:lang w:eastAsia="en-GB"/>
              </w:rPr>
              <w:t>before completion of a</w:t>
            </w:r>
            <w:r w:rsidRPr="00E53F82">
              <w:rPr>
                <w:rFonts w:eastAsia="Times New Roman" w:cs="Arial"/>
                <w:i/>
                <w:iCs/>
                <w:color w:val="000000"/>
                <w:bdr w:val="none" w:sz="0" w:space="0" w:color="auto" w:frame="1"/>
                <w:lang w:eastAsia="en-GB"/>
              </w:rPr>
              <w:t xml:space="preserve">ll of the required </w:t>
            </w:r>
            <w:r w:rsidR="007F0A57">
              <w:rPr>
                <w:rFonts w:eastAsia="Times New Roman" w:cs="Arial"/>
                <w:i/>
                <w:iCs/>
                <w:color w:val="000000"/>
                <w:bdr w:val="none" w:sz="0" w:space="0" w:color="auto" w:frame="1"/>
                <w:lang w:eastAsia="en-GB"/>
              </w:rPr>
              <w:t>assessments</w:t>
            </w:r>
            <w:r w:rsidRPr="00E53F82">
              <w:rPr>
                <w:rFonts w:eastAsia="Times New Roman" w:cs="Arial"/>
                <w:i/>
                <w:iCs/>
                <w:color w:val="000000"/>
                <w:bdr w:val="none" w:sz="0" w:space="0" w:color="auto" w:frame="1"/>
                <w:lang w:eastAsia="en-GB"/>
              </w:rPr>
              <w:t>; or</w:t>
            </w:r>
          </w:p>
          <w:p w:rsidR="00102433" w:rsidRPr="00102433" w:rsidRDefault="00A71389" w:rsidP="00102433">
            <w:pPr>
              <w:numPr>
                <w:ilvl w:val="1"/>
                <w:numId w:val="6"/>
              </w:numPr>
              <w:shd w:val="clear" w:color="auto" w:fill="FFFFFF"/>
              <w:ind w:left="28"/>
              <w:textAlignment w:val="baseline"/>
              <w:rPr>
                <w:rFonts w:eastAsia="Times New Roman" w:cs="Arial"/>
                <w:color w:val="000000"/>
                <w:lang w:eastAsia="en-GB"/>
              </w:rPr>
            </w:pPr>
            <w:r w:rsidRPr="00E53F82">
              <w:rPr>
                <w:rFonts w:eastAsia="Times New Roman" w:cs="Arial"/>
                <w:color w:val="000000"/>
                <w:bdr w:val="none" w:sz="0" w:space="0" w:color="auto" w:frame="1"/>
                <w:lang w:eastAsia="en-GB"/>
              </w:rPr>
              <w:br/>
            </w:r>
            <w:r w:rsidR="00475AD9" w:rsidRPr="00E53F82">
              <w:rPr>
                <w:rFonts w:eastAsia="Times New Roman" w:cs="Arial"/>
                <w:color w:val="000000"/>
                <w:lang w:eastAsia="en-GB"/>
              </w:rPr>
              <w:t>3)</w:t>
            </w:r>
            <w:r w:rsidR="009B241A">
              <w:rPr>
                <w:rFonts w:eastAsia="Times New Roman" w:cs="Arial"/>
                <w:color w:val="000000"/>
                <w:lang w:eastAsia="en-GB"/>
              </w:rPr>
              <w:t xml:space="preserve"> </w:t>
            </w:r>
            <w:r w:rsidRPr="00E53F82">
              <w:rPr>
                <w:rFonts w:eastAsia="Times New Roman" w:cs="Arial"/>
                <w:i/>
                <w:iCs/>
                <w:color w:val="000000"/>
                <w:bdr w:val="none" w:sz="0" w:space="0" w:color="auto" w:frame="1"/>
                <w:lang w:eastAsia="en-GB"/>
              </w:rPr>
              <w:t xml:space="preserve">after completion of the taught element of the </w:t>
            </w:r>
            <w:r w:rsidR="00DB0379">
              <w:rPr>
                <w:rFonts w:eastAsia="Times New Roman" w:cs="Arial"/>
                <w:i/>
                <w:iCs/>
                <w:color w:val="000000"/>
                <w:bdr w:val="none" w:sz="0" w:space="0" w:color="auto" w:frame="1"/>
                <w:lang w:eastAsia="en-GB"/>
              </w:rPr>
              <w:t>programme</w:t>
            </w:r>
            <w:r w:rsidRPr="00E53F82">
              <w:rPr>
                <w:rFonts w:eastAsia="Times New Roman" w:cs="Arial"/>
                <w:i/>
                <w:iCs/>
                <w:color w:val="000000"/>
                <w:bdr w:val="none" w:sz="0" w:space="0" w:color="auto" w:frame="1"/>
                <w:lang w:eastAsia="en-GB"/>
              </w:rPr>
              <w:t xml:space="preserve"> of study, but prior to taking any of the required </w:t>
            </w:r>
            <w:r w:rsidR="007F0A57">
              <w:rPr>
                <w:rFonts w:eastAsia="Times New Roman" w:cs="Arial"/>
                <w:i/>
                <w:iCs/>
                <w:color w:val="000000"/>
                <w:bdr w:val="none" w:sz="0" w:space="0" w:color="auto" w:frame="1"/>
                <w:lang w:eastAsia="en-GB"/>
              </w:rPr>
              <w:t xml:space="preserve">assessment </w:t>
            </w:r>
            <w:r w:rsidRPr="00E53F82">
              <w:rPr>
                <w:rFonts w:eastAsia="Times New Roman" w:cs="Arial"/>
                <w:i/>
                <w:iCs/>
                <w:color w:val="000000"/>
                <w:bdr w:val="none" w:sz="0" w:space="0" w:color="auto" w:frame="1"/>
                <w:lang w:eastAsia="en-GB"/>
              </w:rPr>
              <w:t>examinations.</w:t>
            </w:r>
            <w:r w:rsidRPr="00E53F82">
              <w:rPr>
                <w:rFonts w:eastAsia="Times New Roman" w:cs="Arial"/>
                <w:color w:val="000000"/>
                <w:bdr w:val="none" w:sz="0" w:space="0" w:color="auto" w:frame="1"/>
                <w:lang w:eastAsia="en-GB"/>
              </w:rPr>
              <w:t> </w:t>
            </w:r>
          </w:p>
          <w:p w:rsidR="00A71389" w:rsidRPr="00102433" w:rsidRDefault="00A71389" w:rsidP="00102433">
            <w:pPr>
              <w:numPr>
                <w:ilvl w:val="1"/>
                <w:numId w:val="6"/>
              </w:numPr>
              <w:shd w:val="clear" w:color="auto" w:fill="FFFFFF"/>
              <w:ind w:left="28"/>
              <w:textAlignment w:val="baseline"/>
              <w:rPr>
                <w:rFonts w:eastAsia="Times New Roman" w:cs="Arial"/>
                <w:color w:val="000000"/>
                <w:lang w:eastAsia="en-GB"/>
              </w:rPr>
            </w:pPr>
            <w:r w:rsidRPr="00E53F82">
              <w:rPr>
                <w:rFonts w:eastAsia="Times New Roman" w:cs="Arial"/>
                <w:color w:val="000000"/>
                <w:bdr w:val="none" w:sz="0" w:space="0" w:color="auto" w:frame="1"/>
                <w:lang w:eastAsia="en-GB"/>
              </w:rPr>
              <w:br/>
            </w:r>
            <w:r w:rsidR="007055F8" w:rsidRPr="00E53F82">
              <w:rPr>
                <w:rFonts w:eastAsia="Times New Roman" w:cs="Arial"/>
                <w:color w:val="000000"/>
                <w:lang w:eastAsia="en-GB"/>
              </w:rPr>
              <w:t xml:space="preserve">4)  </w:t>
            </w:r>
            <w:r w:rsidRPr="00E53F82">
              <w:rPr>
                <w:rFonts w:eastAsia="Times New Roman" w:cs="Arial"/>
                <w:i/>
                <w:iCs/>
                <w:color w:val="000000"/>
                <w:bdr w:val="none" w:sz="0" w:space="0" w:color="auto" w:frame="1"/>
                <w:lang w:eastAsia="en-GB"/>
              </w:rPr>
              <w:t>prior to completion of t</w:t>
            </w:r>
            <w:r w:rsidR="00475AD9" w:rsidRPr="00E53F82">
              <w:rPr>
                <w:rFonts w:eastAsia="Times New Roman" w:cs="Arial"/>
                <w:i/>
                <w:iCs/>
                <w:color w:val="000000"/>
                <w:bdr w:val="none" w:sz="0" w:space="0" w:color="auto" w:frame="1"/>
                <w:lang w:eastAsia="en-GB"/>
              </w:rPr>
              <w:t xml:space="preserve">he taught element of the </w:t>
            </w:r>
            <w:r w:rsidR="00DB0379">
              <w:rPr>
                <w:rFonts w:eastAsia="Times New Roman" w:cs="Arial"/>
                <w:i/>
                <w:iCs/>
                <w:color w:val="000000"/>
                <w:bdr w:val="none" w:sz="0" w:space="0" w:color="auto" w:frame="1"/>
                <w:lang w:eastAsia="en-GB"/>
              </w:rPr>
              <w:t>programme</w:t>
            </w:r>
            <w:r w:rsidR="007055F8" w:rsidRPr="00E53F82">
              <w:rPr>
                <w:rFonts w:eastAsia="Times New Roman" w:cs="Arial"/>
                <w:i/>
                <w:iCs/>
                <w:color w:val="000000"/>
                <w:bdr w:val="none" w:sz="0" w:space="0" w:color="auto" w:frame="1"/>
                <w:lang w:eastAsia="en-GB"/>
              </w:rPr>
              <w:t xml:space="preserve"> - </w:t>
            </w:r>
            <w:r w:rsidR="00475AD9" w:rsidRPr="00E53F82">
              <w:rPr>
                <w:rFonts w:eastAsia="Times New Roman" w:cs="Arial"/>
                <w:i/>
                <w:iCs/>
                <w:color w:val="000000"/>
                <w:bdr w:val="none" w:sz="0" w:space="0" w:color="auto" w:frame="1"/>
                <w:lang w:eastAsia="en-GB"/>
              </w:rPr>
              <w:t xml:space="preserve"> </w:t>
            </w:r>
            <w:r w:rsidRPr="00E53F82">
              <w:rPr>
                <w:rFonts w:eastAsia="Times New Roman" w:cs="Arial"/>
                <w:color w:val="000000"/>
                <w:bdr w:val="none" w:sz="0" w:space="0" w:color="auto" w:frame="1"/>
                <w:lang w:eastAsia="en-GB"/>
              </w:rPr>
              <w:t xml:space="preserve">provided that the candidate has completed two thirds of a </w:t>
            </w:r>
            <w:r w:rsidR="00DB0379">
              <w:rPr>
                <w:rFonts w:eastAsia="Times New Roman" w:cs="Arial"/>
                <w:color w:val="000000"/>
                <w:bdr w:val="none" w:sz="0" w:space="0" w:color="auto" w:frame="1"/>
                <w:lang w:eastAsia="en-GB"/>
              </w:rPr>
              <w:t>programme</w:t>
            </w:r>
            <w:r w:rsidR="00B52919">
              <w:rPr>
                <w:rFonts w:eastAsia="Times New Roman" w:cs="Arial"/>
                <w:color w:val="000000"/>
                <w:bdr w:val="none" w:sz="0" w:space="0" w:color="auto" w:frame="1"/>
                <w:lang w:eastAsia="en-GB"/>
              </w:rPr>
              <w:t>.</w:t>
            </w:r>
          </w:p>
          <w:p w:rsidR="00102433" w:rsidRPr="00E53F82" w:rsidRDefault="00102433" w:rsidP="00102433">
            <w:pPr>
              <w:numPr>
                <w:ilvl w:val="1"/>
                <w:numId w:val="6"/>
              </w:numPr>
              <w:shd w:val="clear" w:color="auto" w:fill="FFFFFF"/>
              <w:ind w:left="28"/>
              <w:textAlignment w:val="baseline"/>
              <w:rPr>
                <w:rFonts w:eastAsia="Times New Roman" w:cs="Arial"/>
                <w:color w:val="000000"/>
                <w:lang w:eastAsia="en-GB"/>
              </w:rPr>
            </w:pPr>
          </w:p>
          <w:p w:rsidR="00A71389" w:rsidRDefault="00A71389" w:rsidP="00102433">
            <w:pPr>
              <w:shd w:val="clear" w:color="auto" w:fill="FFFFFF"/>
              <w:ind w:left="28"/>
              <w:textAlignment w:val="baseline"/>
              <w:rPr>
                <w:rFonts w:eastAsia="Times New Roman" w:cs="Arial"/>
                <w:bdr w:val="none" w:sz="0" w:space="0" w:color="auto" w:frame="1"/>
                <w:lang w:eastAsia="en-GB"/>
              </w:rPr>
            </w:pPr>
            <w:r w:rsidRPr="00E53F82">
              <w:rPr>
                <w:b/>
              </w:rPr>
              <w:t xml:space="preserve">Dissertation </w:t>
            </w:r>
            <w:r w:rsidR="009B241A" w:rsidRPr="00E53F82">
              <w:rPr>
                <w:b/>
              </w:rPr>
              <w:t>Component:</w:t>
            </w:r>
            <w:r w:rsidRPr="00E53F82">
              <w:rPr>
                <w:b/>
              </w:rPr>
              <w:t xml:space="preserve">  </w:t>
            </w:r>
            <w:r w:rsidRPr="00E53F82">
              <w:rPr>
                <w:rFonts w:eastAsia="Times New Roman" w:cs="Arial"/>
                <w:color w:val="000000"/>
                <w:bdr w:val="none" w:sz="0" w:space="0" w:color="auto" w:frame="1"/>
                <w:lang w:eastAsia="en-GB"/>
              </w:rPr>
              <w:t xml:space="preserve">the </w:t>
            </w:r>
            <w:r w:rsidR="00C95E95">
              <w:t xml:space="preserve">PVC Education </w:t>
            </w:r>
            <w:r w:rsidR="002E58A6">
              <w:t>in their capacity as</w:t>
            </w:r>
            <w:r w:rsidR="00C95E95">
              <w:t xml:space="preserve"> Chair of University Exam Board, </w:t>
            </w:r>
            <w:r w:rsidR="00475AD9" w:rsidRPr="00E53F82">
              <w:rPr>
                <w:rFonts w:eastAsia="Times New Roman" w:cs="Arial"/>
                <w:bdr w:val="none" w:sz="0" w:space="0" w:color="auto" w:frame="1"/>
                <w:lang w:eastAsia="en-GB"/>
              </w:rPr>
              <w:t>may approve the</w:t>
            </w:r>
            <w:r w:rsidRPr="00E53F82">
              <w:rPr>
                <w:rFonts w:eastAsia="Times New Roman" w:cs="Arial"/>
                <w:bdr w:val="none" w:sz="0" w:space="0" w:color="auto" w:frame="1"/>
                <w:lang w:eastAsia="en-GB"/>
              </w:rPr>
              <w:t xml:space="preserve"> award </w:t>
            </w:r>
            <w:r w:rsidRPr="00E53F82">
              <w:rPr>
                <w:rFonts w:eastAsia="Times New Roman" w:cs="Arial"/>
                <w:color w:val="000000"/>
                <w:bdr w:val="none" w:sz="0" w:space="0" w:color="auto" w:frame="1"/>
                <w:lang w:eastAsia="en-GB"/>
              </w:rPr>
              <w:t xml:space="preserve">of a </w:t>
            </w:r>
            <w:r w:rsidR="007055F8" w:rsidRPr="00E53F82">
              <w:rPr>
                <w:rFonts w:eastAsia="Times New Roman" w:cs="Arial"/>
                <w:color w:val="000000"/>
                <w:bdr w:val="none" w:sz="0" w:space="0" w:color="auto" w:frame="1"/>
                <w:lang w:eastAsia="en-GB"/>
              </w:rPr>
              <w:t xml:space="preserve">Masters </w:t>
            </w:r>
            <w:r w:rsidRPr="00E53F82">
              <w:rPr>
                <w:rFonts w:eastAsia="Times New Roman" w:cs="Arial"/>
                <w:color w:val="000000"/>
                <w:bdr w:val="none" w:sz="0" w:space="0" w:color="auto" w:frame="1"/>
                <w:lang w:eastAsia="en-GB"/>
              </w:rPr>
              <w:t>degree</w:t>
            </w:r>
            <w:r w:rsidR="00475AD9" w:rsidRPr="00E53F82">
              <w:rPr>
                <w:rFonts w:eastAsia="Times New Roman" w:cs="Arial"/>
                <w:color w:val="000000"/>
                <w:bdr w:val="none" w:sz="0" w:space="0" w:color="auto" w:frame="1"/>
                <w:lang w:eastAsia="en-GB"/>
              </w:rPr>
              <w:t xml:space="preserve"> </w:t>
            </w:r>
            <w:r w:rsidR="007F0A57">
              <w:rPr>
                <w:rFonts w:eastAsia="Times New Roman" w:cs="Arial"/>
                <w:color w:val="000000"/>
                <w:bdr w:val="none" w:sz="0" w:space="0" w:color="auto" w:frame="1"/>
                <w:lang w:eastAsia="en-GB"/>
              </w:rPr>
              <w:t xml:space="preserve">on the recommendation of the relevant examination board </w:t>
            </w:r>
            <w:r w:rsidR="00475AD9" w:rsidRPr="00E53F82">
              <w:rPr>
                <w:rFonts w:eastAsia="Times New Roman" w:cs="Arial"/>
                <w:color w:val="000000"/>
                <w:bdr w:val="none" w:sz="0" w:space="0" w:color="auto" w:frame="1"/>
                <w:lang w:eastAsia="en-GB"/>
              </w:rPr>
              <w:t xml:space="preserve">where a candidate </w:t>
            </w:r>
            <w:r w:rsidR="000C5A4C" w:rsidRPr="00E53F82">
              <w:rPr>
                <w:rFonts w:eastAsia="Times New Roman" w:cs="Arial"/>
                <w:color w:val="000000"/>
                <w:bdr w:val="none" w:sz="0" w:space="0" w:color="auto" w:frame="1"/>
                <w:lang w:eastAsia="en-GB"/>
              </w:rPr>
              <w:t>has become</w:t>
            </w:r>
            <w:r w:rsidR="00475AD9" w:rsidRPr="00E53F82">
              <w:rPr>
                <w:rFonts w:eastAsia="Times New Roman" w:cs="Arial"/>
                <w:color w:val="000000"/>
                <w:bdr w:val="none" w:sz="0" w:space="0" w:color="auto" w:frame="1"/>
                <w:lang w:eastAsia="en-GB"/>
              </w:rPr>
              <w:t xml:space="preserve"> too unwell to proceed</w:t>
            </w:r>
            <w:r w:rsidRPr="00E53F82">
              <w:rPr>
                <w:rFonts w:eastAsia="Times New Roman" w:cs="Arial"/>
                <w:color w:val="000000"/>
                <w:bdr w:val="none" w:sz="0" w:space="0" w:color="auto" w:frame="1"/>
                <w:lang w:eastAsia="en-GB"/>
              </w:rPr>
              <w:t xml:space="preserve"> before the submission of a dissertation, provided that the relevant </w:t>
            </w:r>
            <w:r w:rsidR="007F0A57">
              <w:rPr>
                <w:rFonts w:eastAsia="Times New Roman" w:cs="Arial"/>
                <w:color w:val="000000"/>
                <w:bdr w:val="none" w:sz="0" w:space="0" w:color="auto" w:frame="1"/>
                <w:lang w:eastAsia="en-GB"/>
              </w:rPr>
              <w:t>Examination Board</w:t>
            </w:r>
            <w:r w:rsidRPr="00E53F82">
              <w:rPr>
                <w:rFonts w:eastAsia="Times New Roman" w:cs="Arial"/>
                <w:color w:val="000000"/>
                <w:bdr w:val="none" w:sz="0" w:space="0" w:color="auto" w:frame="1"/>
                <w:lang w:eastAsia="en-GB"/>
              </w:rPr>
              <w:t xml:space="preserve"> is able to consider available evidence of the research work completed by the candidate. Normally, such evidence shall be supplied by the candidate's supervisor/advisor, who shall also submit a report for consideration by </w:t>
            </w:r>
            <w:r w:rsidR="005F423B" w:rsidRPr="00E53F82">
              <w:rPr>
                <w:rFonts w:eastAsia="Times New Roman" w:cs="Arial"/>
                <w:color w:val="000000"/>
                <w:bdr w:val="none" w:sz="0" w:space="0" w:color="auto" w:frame="1"/>
                <w:lang w:eastAsia="en-GB"/>
              </w:rPr>
              <w:t>the</w:t>
            </w:r>
            <w:r w:rsidR="005F423B">
              <w:rPr>
                <w:rFonts w:eastAsia="Times New Roman" w:cs="Arial"/>
                <w:color w:val="000000"/>
                <w:bdr w:val="none" w:sz="0" w:space="0" w:color="auto" w:frame="1"/>
                <w:lang w:eastAsia="en-GB"/>
              </w:rPr>
              <w:t xml:space="preserve"> </w:t>
            </w:r>
            <w:r w:rsidR="00CA6EA4">
              <w:t>PVC Education</w:t>
            </w:r>
            <w:r w:rsidRPr="00E53F82">
              <w:rPr>
                <w:rFonts w:eastAsia="Times New Roman" w:cs="Arial"/>
                <w:color w:val="000000"/>
                <w:bdr w:val="none" w:sz="0" w:space="0" w:color="auto" w:frame="1"/>
                <w:lang w:eastAsia="en-GB"/>
              </w:rPr>
              <w:t xml:space="preserve">. The following criteria must be satisfied before the </w:t>
            </w:r>
            <w:r w:rsidR="00C95E95">
              <w:t>PVC Education</w:t>
            </w:r>
            <w:r w:rsidR="00CA6EA4">
              <w:t xml:space="preserve"> can</w:t>
            </w:r>
            <w:r w:rsidR="00C95E95">
              <w:t xml:space="preserve"> </w:t>
            </w:r>
            <w:r w:rsidR="00475AD9" w:rsidRPr="00E53F82">
              <w:rPr>
                <w:rFonts w:eastAsia="Times New Roman" w:cs="Arial"/>
                <w:bdr w:val="none" w:sz="0" w:space="0" w:color="auto" w:frame="1"/>
                <w:lang w:eastAsia="en-GB"/>
              </w:rPr>
              <w:t xml:space="preserve">approve </w:t>
            </w:r>
            <w:r w:rsidRPr="00E53F82">
              <w:rPr>
                <w:rFonts w:eastAsia="Times New Roman" w:cs="Arial"/>
                <w:bdr w:val="none" w:sz="0" w:space="0" w:color="auto" w:frame="1"/>
                <w:lang w:eastAsia="en-GB"/>
              </w:rPr>
              <w:t xml:space="preserve"> the award of a </w:t>
            </w:r>
            <w:r w:rsidR="005F423B">
              <w:rPr>
                <w:rFonts w:eastAsia="Times New Roman" w:cs="Arial"/>
                <w:bdr w:val="none" w:sz="0" w:space="0" w:color="auto" w:frame="1"/>
                <w:lang w:eastAsia="en-GB"/>
              </w:rPr>
              <w:t>Aegrotat</w:t>
            </w:r>
            <w:r w:rsidR="007F0A57" w:rsidRPr="00E53F82">
              <w:rPr>
                <w:rFonts w:eastAsia="Times New Roman" w:cs="Arial"/>
                <w:bdr w:val="none" w:sz="0" w:space="0" w:color="auto" w:frame="1"/>
                <w:lang w:eastAsia="en-GB"/>
              </w:rPr>
              <w:t xml:space="preserve"> </w:t>
            </w:r>
            <w:r w:rsidRPr="00E53F82">
              <w:rPr>
                <w:rFonts w:eastAsia="Times New Roman" w:cs="Arial"/>
                <w:bdr w:val="none" w:sz="0" w:space="0" w:color="auto" w:frame="1"/>
                <w:lang w:eastAsia="en-GB"/>
              </w:rPr>
              <w:t>degree be made:</w:t>
            </w:r>
          </w:p>
          <w:p w:rsidR="00F01BF9" w:rsidRPr="00E53F82" w:rsidRDefault="00F01BF9" w:rsidP="00102433">
            <w:pPr>
              <w:shd w:val="clear" w:color="auto" w:fill="FFFFFF"/>
              <w:ind w:left="28"/>
              <w:textAlignment w:val="baseline"/>
              <w:rPr>
                <w:rFonts w:eastAsia="Times New Roman" w:cs="Arial"/>
                <w:color w:val="000000"/>
                <w:lang w:eastAsia="en-GB"/>
              </w:rPr>
            </w:pPr>
          </w:p>
          <w:p w:rsidR="00A71389" w:rsidRPr="00F01BF9" w:rsidRDefault="00A71389" w:rsidP="00102433">
            <w:pPr>
              <w:numPr>
                <w:ilvl w:val="2"/>
                <w:numId w:val="7"/>
              </w:numPr>
              <w:shd w:val="clear" w:color="auto" w:fill="FFFFFF"/>
              <w:ind w:left="45"/>
              <w:textAlignment w:val="baseline"/>
              <w:rPr>
                <w:rFonts w:eastAsia="Times New Roman" w:cs="Arial"/>
                <w:color w:val="000000"/>
                <w:lang w:eastAsia="en-GB"/>
              </w:rPr>
            </w:pPr>
            <w:r w:rsidRPr="00E53F82">
              <w:rPr>
                <w:rFonts w:eastAsia="Times New Roman" w:cs="Arial"/>
                <w:i/>
                <w:iCs/>
                <w:color w:val="000000"/>
                <w:bdr w:val="none" w:sz="0" w:space="0" w:color="auto" w:frame="1"/>
                <w:lang w:eastAsia="en-GB"/>
              </w:rPr>
              <w:t>enough of the research project must have been completed to allow a proper assessment to be made of the scope of the dissertation;</w:t>
            </w:r>
          </w:p>
          <w:p w:rsidR="00F01BF9" w:rsidRPr="00E53F82" w:rsidRDefault="00F01BF9" w:rsidP="00102433">
            <w:pPr>
              <w:numPr>
                <w:ilvl w:val="2"/>
                <w:numId w:val="7"/>
              </w:numPr>
              <w:shd w:val="clear" w:color="auto" w:fill="FFFFFF"/>
              <w:ind w:left="45"/>
              <w:textAlignment w:val="baseline"/>
              <w:rPr>
                <w:rFonts w:eastAsia="Times New Roman" w:cs="Arial"/>
                <w:color w:val="000000"/>
                <w:lang w:eastAsia="en-GB"/>
              </w:rPr>
            </w:pPr>
          </w:p>
          <w:p w:rsidR="00A71389" w:rsidRPr="00F01BF9" w:rsidRDefault="00A71389" w:rsidP="00102433">
            <w:pPr>
              <w:numPr>
                <w:ilvl w:val="2"/>
                <w:numId w:val="7"/>
              </w:numPr>
              <w:shd w:val="clear" w:color="auto" w:fill="FFFFFF"/>
              <w:ind w:left="45"/>
              <w:textAlignment w:val="baseline"/>
              <w:rPr>
                <w:rFonts w:eastAsia="Times New Roman" w:cs="Arial"/>
                <w:color w:val="000000"/>
                <w:lang w:eastAsia="en-GB"/>
              </w:rPr>
            </w:pPr>
            <w:r w:rsidRPr="00E53F82">
              <w:rPr>
                <w:rFonts w:eastAsia="Times New Roman" w:cs="Arial"/>
                <w:i/>
                <w:iCs/>
                <w:color w:val="000000"/>
                <w:bdr w:val="none" w:sz="0" w:space="0" w:color="auto" w:frame="1"/>
                <w:lang w:eastAsia="en-GB"/>
              </w:rPr>
              <w:lastRenderedPageBreak/>
              <w:t>the standard of the research work completed must be of that normally required for the award of the degree in question, and must demonstrate the candidate's grasp of the subject;</w:t>
            </w:r>
          </w:p>
          <w:p w:rsidR="00F01BF9" w:rsidRPr="00E53F82" w:rsidRDefault="00F01BF9" w:rsidP="00102433">
            <w:pPr>
              <w:numPr>
                <w:ilvl w:val="2"/>
                <w:numId w:val="7"/>
              </w:numPr>
              <w:shd w:val="clear" w:color="auto" w:fill="FFFFFF"/>
              <w:ind w:left="45"/>
              <w:textAlignment w:val="baseline"/>
              <w:rPr>
                <w:rFonts w:eastAsia="Times New Roman" w:cs="Arial"/>
                <w:color w:val="000000"/>
                <w:lang w:eastAsia="en-GB"/>
              </w:rPr>
            </w:pPr>
          </w:p>
          <w:p w:rsidR="003A4A69" w:rsidRDefault="00A71389" w:rsidP="00102433">
            <w:pPr>
              <w:rPr>
                <w:rFonts w:eastAsia="Times New Roman" w:cs="Arial"/>
                <w:i/>
                <w:iCs/>
                <w:color w:val="000000"/>
                <w:bdr w:val="none" w:sz="0" w:space="0" w:color="auto" w:frame="1"/>
                <w:lang w:eastAsia="en-GB"/>
              </w:rPr>
            </w:pPr>
            <w:r w:rsidRPr="00E53F82">
              <w:rPr>
                <w:rFonts w:eastAsia="Times New Roman" w:cs="Arial"/>
                <w:i/>
                <w:iCs/>
                <w:color w:val="000000"/>
                <w:bdr w:val="none" w:sz="0" w:space="0" w:color="auto" w:frame="1"/>
                <w:lang w:eastAsia="en-GB"/>
              </w:rPr>
              <w:t xml:space="preserve">the written material available (draft chapters, published work, work prepared for publication, presentations to conferences/ seminars, progress reports by the candidate for his/her </w:t>
            </w:r>
            <w:r w:rsidR="006536E0">
              <w:rPr>
                <w:rFonts w:eastAsia="Times New Roman" w:cs="Arial"/>
                <w:i/>
                <w:iCs/>
                <w:color w:val="000000"/>
                <w:bdr w:val="none" w:sz="0" w:space="0" w:color="auto" w:frame="1"/>
                <w:lang w:eastAsia="en-GB"/>
              </w:rPr>
              <w:t>School</w:t>
            </w:r>
            <w:r w:rsidRPr="00E53F82">
              <w:rPr>
                <w:rFonts w:eastAsia="Times New Roman" w:cs="Arial"/>
                <w:i/>
                <w:iCs/>
                <w:color w:val="000000"/>
                <w:bdr w:val="none" w:sz="0" w:space="0" w:color="auto" w:frame="1"/>
                <w:lang w:eastAsia="en-GB"/>
              </w:rPr>
              <w:t>) must demonstrate the candidate's ability to write a dissertation of the required standard</w:t>
            </w:r>
          </w:p>
          <w:p w:rsidR="003A49E9" w:rsidRPr="00E53F82" w:rsidRDefault="003A49E9" w:rsidP="00102433">
            <w:pPr>
              <w:rPr>
                <w:b/>
              </w:rPr>
            </w:pPr>
          </w:p>
        </w:tc>
        <w:tc>
          <w:tcPr>
            <w:tcW w:w="1417" w:type="dxa"/>
          </w:tcPr>
          <w:p w:rsidR="003A4A69" w:rsidRPr="00E53F82" w:rsidRDefault="003A4A69" w:rsidP="00920679">
            <w:r w:rsidRPr="00E53F82">
              <w:rPr>
                <w:b/>
              </w:rPr>
              <w:lastRenderedPageBreak/>
              <w:t>No</w:t>
            </w:r>
          </w:p>
        </w:tc>
        <w:tc>
          <w:tcPr>
            <w:tcW w:w="1432" w:type="dxa"/>
          </w:tcPr>
          <w:p w:rsidR="003A4A69" w:rsidRPr="00E53F82" w:rsidRDefault="003A4A69" w:rsidP="00920679">
            <w:r w:rsidRPr="00E53F82">
              <w:t>Aegrotat contained in award title</w:t>
            </w:r>
          </w:p>
        </w:tc>
      </w:tr>
    </w:tbl>
    <w:p w:rsidR="00E53F82" w:rsidRDefault="00353162" w:rsidP="00FE37ED">
      <w:r w:rsidRPr="00E53F82">
        <w:t>*Degrees which are subject to fitness to practice requirements shall not be awarded A</w:t>
      </w:r>
      <w:r w:rsidR="001B5F05" w:rsidRPr="00E53F82">
        <w:t>egrotat awards</w:t>
      </w:r>
    </w:p>
    <w:p w:rsidR="00FE37ED" w:rsidRPr="009B241A" w:rsidRDefault="00FE37ED" w:rsidP="00FE37ED">
      <w:pPr>
        <w:rPr>
          <w:sz w:val="24"/>
        </w:rPr>
      </w:pPr>
      <w:bookmarkStart w:id="0" w:name="_GoBack"/>
      <w:bookmarkEnd w:id="0"/>
      <w:r w:rsidRPr="009B241A">
        <w:rPr>
          <w:b/>
          <w:sz w:val="24"/>
        </w:rPr>
        <w:t>Posthumous thresholds</w:t>
      </w:r>
      <w:r w:rsidR="000C5A4C">
        <w:rPr>
          <w:b/>
          <w:sz w:val="24"/>
          <w:vertAlign w:val="superscript"/>
        </w:rPr>
        <w:t>+</w:t>
      </w:r>
      <w:r w:rsidRPr="009B241A">
        <w:rPr>
          <w:b/>
          <w:sz w:val="24"/>
        </w:rPr>
        <w:t>:</w:t>
      </w:r>
    </w:p>
    <w:tbl>
      <w:tblPr>
        <w:tblStyle w:val="TableGrid"/>
        <w:tblW w:w="9464" w:type="dxa"/>
        <w:tblLayout w:type="fixed"/>
        <w:tblLook w:val="04A0" w:firstRow="1" w:lastRow="0" w:firstColumn="1" w:lastColumn="0" w:noHBand="0" w:noVBand="1"/>
      </w:tblPr>
      <w:tblGrid>
        <w:gridCol w:w="1809"/>
        <w:gridCol w:w="4820"/>
        <w:gridCol w:w="1417"/>
        <w:gridCol w:w="1418"/>
      </w:tblGrid>
      <w:tr w:rsidR="00FE37ED" w:rsidRPr="00E53F82" w:rsidTr="00962567">
        <w:tc>
          <w:tcPr>
            <w:tcW w:w="1809" w:type="dxa"/>
          </w:tcPr>
          <w:p w:rsidR="00FE37ED" w:rsidRPr="00E53F82" w:rsidRDefault="00FE37ED" w:rsidP="00CA6EA4">
            <w:pPr>
              <w:rPr>
                <w:b/>
              </w:rPr>
            </w:pPr>
            <w:r w:rsidRPr="00E53F82">
              <w:rPr>
                <w:b/>
              </w:rPr>
              <w:t>Level</w:t>
            </w:r>
          </w:p>
        </w:tc>
        <w:tc>
          <w:tcPr>
            <w:tcW w:w="4820" w:type="dxa"/>
          </w:tcPr>
          <w:p w:rsidR="00FE37ED" w:rsidRDefault="00FE37ED" w:rsidP="00CA6EA4">
            <w:pPr>
              <w:rPr>
                <w:b/>
              </w:rPr>
            </w:pPr>
            <w:r w:rsidRPr="00E53F82">
              <w:rPr>
                <w:b/>
              </w:rPr>
              <w:t>Proposed Threshold</w:t>
            </w:r>
          </w:p>
          <w:p w:rsidR="00F01BF9" w:rsidRPr="00E53F82" w:rsidRDefault="00F01BF9" w:rsidP="00CA6EA4">
            <w:pPr>
              <w:rPr>
                <w:b/>
              </w:rPr>
            </w:pPr>
          </w:p>
        </w:tc>
        <w:tc>
          <w:tcPr>
            <w:tcW w:w="1417" w:type="dxa"/>
          </w:tcPr>
          <w:p w:rsidR="00FE37ED" w:rsidRPr="00E53F82" w:rsidRDefault="0024535C" w:rsidP="00CA6EA4">
            <w:pPr>
              <w:rPr>
                <w:b/>
              </w:rPr>
            </w:pPr>
            <w:r w:rsidRPr="00E53F82">
              <w:rPr>
                <w:b/>
              </w:rPr>
              <w:t>Classification</w:t>
            </w:r>
          </w:p>
        </w:tc>
        <w:tc>
          <w:tcPr>
            <w:tcW w:w="1418" w:type="dxa"/>
          </w:tcPr>
          <w:p w:rsidR="00FE37ED" w:rsidRPr="00E53F82" w:rsidRDefault="00FE37ED" w:rsidP="00CA6EA4">
            <w:pPr>
              <w:rPr>
                <w:b/>
              </w:rPr>
            </w:pPr>
            <w:r w:rsidRPr="00E53F82">
              <w:rPr>
                <w:b/>
              </w:rPr>
              <w:t xml:space="preserve">Title </w:t>
            </w:r>
          </w:p>
        </w:tc>
      </w:tr>
      <w:tr w:rsidR="00FE37ED" w:rsidRPr="00E53F82" w:rsidTr="00962567">
        <w:tc>
          <w:tcPr>
            <w:tcW w:w="1809" w:type="dxa"/>
          </w:tcPr>
          <w:p w:rsidR="00FE37ED" w:rsidRPr="00E53F82" w:rsidRDefault="00FE37ED" w:rsidP="00CA6EA4">
            <w:pPr>
              <w:rPr>
                <w:b/>
              </w:rPr>
            </w:pPr>
            <w:r w:rsidRPr="00E53F82">
              <w:rPr>
                <w:b/>
              </w:rPr>
              <w:t>Undergraduate</w:t>
            </w:r>
            <w:r w:rsidR="00C95E95">
              <w:rPr>
                <w:b/>
              </w:rPr>
              <w:t xml:space="preserve"> &amp; Postgraduate Taught  </w:t>
            </w:r>
          </w:p>
        </w:tc>
        <w:tc>
          <w:tcPr>
            <w:tcW w:w="4820" w:type="dxa"/>
          </w:tcPr>
          <w:p w:rsidR="00FE37ED" w:rsidRDefault="003A4A69" w:rsidP="003B2501">
            <w:r w:rsidRPr="00E53F82">
              <w:t xml:space="preserve">Awards are </w:t>
            </w:r>
            <w:r w:rsidR="008972F4">
              <w:t xml:space="preserve">normally </w:t>
            </w:r>
            <w:r w:rsidRPr="00E53F82">
              <w:t xml:space="preserve">given </w:t>
            </w:r>
            <w:r w:rsidR="00C95E95">
              <w:rPr>
                <w:u w:val="single"/>
              </w:rPr>
              <w:t xml:space="preserve">as a minimum </w:t>
            </w:r>
            <w:r w:rsidRPr="00E53F82">
              <w:t>at the level at which the student was studying</w:t>
            </w:r>
            <w:r w:rsidR="005B42E6">
              <w:t xml:space="preserve"> at the time of death</w:t>
            </w:r>
            <w:r w:rsidR="003B2501">
              <w:t>.</w:t>
            </w:r>
            <w:r w:rsidRPr="00E53F82">
              <w:t xml:space="preserve">  Up to Level 4 = CertHE; Up to Level 5 = DipHE; Up to level 6 = Bachelor’s </w:t>
            </w:r>
            <w:r w:rsidR="009B241A" w:rsidRPr="00E53F82">
              <w:t>Degree;</w:t>
            </w:r>
            <w:r w:rsidRPr="00E53F82">
              <w:t xml:space="preserve"> Up to Level 7 = </w:t>
            </w:r>
            <w:r w:rsidR="005B42E6">
              <w:t xml:space="preserve">Integrated </w:t>
            </w:r>
            <w:r w:rsidR="00C95E95">
              <w:t xml:space="preserve">Master’s/PG Cert/PG Diploma/ or Master’s Degree at the </w:t>
            </w:r>
            <w:r w:rsidR="009B241A">
              <w:t>discretion</w:t>
            </w:r>
            <w:r w:rsidR="00C95E95">
              <w:t xml:space="preserve"> of the Vice-Chancellor in their capacity as Chair of Senate.</w:t>
            </w:r>
          </w:p>
          <w:p w:rsidR="00F01BF9" w:rsidRPr="00E53F82" w:rsidRDefault="00F01BF9" w:rsidP="003B2501">
            <w:pPr>
              <w:rPr>
                <w:b/>
              </w:rPr>
            </w:pPr>
          </w:p>
        </w:tc>
        <w:tc>
          <w:tcPr>
            <w:tcW w:w="1417" w:type="dxa"/>
          </w:tcPr>
          <w:p w:rsidR="00FE37ED" w:rsidRPr="00E53F82" w:rsidRDefault="00FE37ED" w:rsidP="00CA6EA4">
            <w:pPr>
              <w:rPr>
                <w:b/>
              </w:rPr>
            </w:pPr>
            <w:r w:rsidRPr="00E53F82">
              <w:rPr>
                <w:b/>
              </w:rPr>
              <w:t>No</w:t>
            </w:r>
          </w:p>
        </w:tc>
        <w:tc>
          <w:tcPr>
            <w:tcW w:w="1418" w:type="dxa"/>
          </w:tcPr>
          <w:p w:rsidR="00FE37ED" w:rsidRPr="00E53F82" w:rsidRDefault="0047311E" w:rsidP="00CA6EA4">
            <w:r w:rsidRPr="00E53F82">
              <w:t xml:space="preserve">Posthumous </w:t>
            </w:r>
            <w:r w:rsidR="001B5F05" w:rsidRPr="00E53F82">
              <w:t xml:space="preserve"> contained in award title</w:t>
            </w:r>
          </w:p>
        </w:tc>
      </w:tr>
    </w:tbl>
    <w:p w:rsidR="00FE37ED" w:rsidRDefault="000C5A4C" w:rsidP="00F01BF9">
      <w:pPr>
        <w:spacing w:after="0"/>
      </w:pPr>
      <w:r w:rsidRPr="000C5A4C">
        <w:rPr>
          <w:sz w:val="24"/>
          <w:vertAlign w:val="superscript"/>
        </w:rPr>
        <w:t>+</w:t>
      </w:r>
      <w:r w:rsidR="001D42C7" w:rsidRPr="00E53F82">
        <w:t xml:space="preserve"> </w:t>
      </w:r>
      <w:r w:rsidR="00E67A72" w:rsidRPr="00E53F82">
        <w:t>If the death of a student occurs after they have completed all the requirements for an award the award will not be considered posthumous and will, therefore, be classified. An award made in such circumstances may still be accepted on the student’s behalf by a parent, spouse, or other appropriate individual in consultation with the family.</w:t>
      </w: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0C5A4C" w:rsidRDefault="000C5A4C" w:rsidP="000C5A4C">
      <w:pPr>
        <w:pStyle w:val="NoSpacing"/>
        <w:rPr>
          <w:b/>
          <w:bCs/>
          <w:sz w:val="28"/>
        </w:rPr>
      </w:pPr>
    </w:p>
    <w:p w:rsidR="00581EE2" w:rsidRDefault="00581EE2" w:rsidP="000C5A4C">
      <w:pPr>
        <w:pStyle w:val="NoSpacing"/>
        <w:rPr>
          <w:b/>
          <w:bCs/>
          <w:sz w:val="28"/>
        </w:rPr>
        <w:sectPr w:rsidR="00581EE2" w:rsidSect="00B163A9">
          <w:footerReference w:type="default" r:id="rId9"/>
          <w:pgSz w:w="11906" w:h="16838"/>
          <w:pgMar w:top="1134" w:right="1418" w:bottom="1134" w:left="1418" w:header="709" w:footer="709" w:gutter="0"/>
          <w:cols w:space="708"/>
          <w:docGrid w:linePitch="360"/>
        </w:sectPr>
      </w:pPr>
    </w:p>
    <w:p w:rsidR="000C5A4C" w:rsidRPr="00CA6EA4" w:rsidRDefault="000C5A4C" w:rsidP="00CA6EA4">
      <w:pPr>
        <w:rPr>
          <w:b/>
        </w:rPr>
      </w:pPr>
      <w:r w:rsidRPr="00CA6EA4">
        <w:rPr>
          <w:b/>
        </w:rPr>
        <w:lastRenderedPageBreak/>
        <w:t xml:space="preserve">Definitions </w:t>
      </w:r>
    </w:p>
    <w:p w:rsidR="000C5A4C" w:rsidRPr="00CA6EA4" w:rsidRDefault="000C5A4C" w:rsidP="00CA6EA4">
      <w:pPr>
        <w:rPr>
          <w:b/>
        </w:rPr>
      </w:pPr>
      <w:r w:rsidRPr="00CA6EA4">
        <w:rPr>
          <w:b/>
        </w:rPr>
        <w:t xml:space="preserve">Aegrotat </w:t>
      </w:r>
    </w:p>
    <w:p w:rsidR="000C5A4C" w:rsidRPr="00CA6EA4" w:rsidRDefault="000C5A4C" w:rsidP="00CA6EA4">
      <w:r w:rsidRPr="00CA6EA4">
        <w:t>An Aegrotat award is an honours degree without classification, a pass degree without classification, a PGT Certificate, PGT Diploma or PGT Masters, awarded (subject to University discretion) under the presumption that, had a candidate who is unable to undertake his or her exams due to illness or even death completed those exams, he or she would have satisfied the standard required for that degree.</w:t>
      </w:r>
    </w:p>
    <w:p w:rsidR="000C5A4C" w:rsidRPr="00CA6EA4" w:rsidRDefault="000C5A4C" w:rsidP="00CA6EA4">
      <w:r w:rsidRPr="00CA6EA4">
        <w:t>Aegrotat awards are often qualified with an appended "(Aegrotat)"on the certificate.  Following the introduction of modern regulations regarding extenuating circumstances, Aegrotat awards are less commonly awarded than they previously were.</w:t>
      </w:r>
    </w:p>
    <w:p w:rsidR="000C5A4C" w:rsidRPr="00CA6EA4" w:rsidRDefault="000C5A4C" w:rsidP="00CA6EA4">
      <w:pPr>
        <w:rPr>
          <w:b/>
        </w:rPr>
      </w:pPr>
      <w:r w:rsidRPr="00CA6EA4">
        <w:rPr>
          <w:b/>
        </w:rPr>
        <w:t>Posthumous</w:t>
      </w:r>
    </w:p>
    <w:p w:rsidR="000C5A4C" w:rsidRPr="00CA6EA4" w:rsidRDefault="000C5A4C" w:rsidP="00CA6EA4">
      <w:r w:rsidRPr="00CA6EA4">
        <w:t xml:space="preserve">A posthumous award  is an honours degree without classification, a pass degree without classification, a PGT Certificate, PGT  Diploma or PGT Masters , awarded to a deceased student who has earned enough credits (subject to University discretion) to be awarded an award posthumously.  </w:t>
      </w:r>
    </w:p>
    <w:p w:rsidR="00CA6EA4" w:rsidRDefault="00CA6EA4" w:rsidP="00CA6EA4"/>
    <w:p w:rsidR="00581EE2" w:rsidRPr="00CA6EA4" w:rsidRDefault="00CA6EA4" w:rsidP="00CA6EA4">
      <w:pPr>
        <w:rPr>
          <w:b/>
        </w:rPr>
      </w:pPr>
      <w:r w:rsidRPr="00CA6EA4">
        <w:rPr>
          <w:b/>
        </w:rPr>
        <w:t>Ordinance B6</w:t>
      </w:r>
      <w:r w:rsidR="00581EE2" w:rsidRPr="00CA6EA4">
        <w:rPr>
          <w:b/>
        </w:rPr>
        <w:t>: Award and Conferment of Degrees, Diplomas etc.</w:t>
      </w:r>
    </w:p>
    <w:p w:rsidR="00CA6EA4" w:rsidRPr="00CA6EA4" w:rsidRDefault="00CA6EA4" w:rsidP="00CA6EA4">
      <w:pPr>
        <w:rPr>
          <w:b/>
        </w:rPr>
      </w:pPr>
      <w:r w:rsidRPr="00CA6EA4">
        <w:rPr>
          <w:b/>
        </w:rPr>
        <w:t>13</w:t>
      </w:r>
      <w:r w:rsidR="00581EE2" w:rsidRPr="00CA6EA4">
        <w:rPr>
          <w:b/>
        </w:rPr>
        <w:t xml:space="preserve"> POSTHUMOUS AWARDS – TAUGHT PROGRAMMES </w:t>
      </w:r>
    </w:p>
    <w:p w:rsidR="00CA6EA4" w:rsidRPr="00CA6EA4" w:rsidRDefault="00CA6EA4" w:rsidP="00CA6EA4">
      <w:r w:rsidRPr="00CA6EA4">
        <w:t xml:space="preserve">13.1 </w:t>
      </w:r>
      <w:r w:rsidR="00581EE2" w:rsidRPr="00CA6EA4">
        <w:t>Any taught award of the University may be conferred posthumously where the death of a student occurs prior to their completion of the requirements for their award. The award conferred in such circumstances will normally be as a minimum the next exit award for which the student would have been eligible, based on the stage of the programme of study they had commenced at the discretion of the Vice-Chancellor in the</w:t>
      </w:r>
      <w:r w:rsidRPr="00CA6EA4">
        <w:t>ir capacity as Chair of Senate.</w:t>
      </w:r>
    </w:p>
    <w:p w:rsidR="00581EE2" w:rsidRPr="00CA6EA4" w:rsidRDefault="00CA6EA4" w:rsidP="00CA6EA4">
      <w:r w:rsidRPr="00CA6EA4">
        <w:t xml:space="preserve">13.2 </w:t>
      </w:r>
      <w:r w:rsidR="00581EE2" w:rsidRPr="00CA6EA4">
        <w:t>All posthumous awards are unclassified If the death of a student occurs after they have completed all the requirements for an award the award will not be considered posthumous and will, therefore, be classified.</w:t>
      </w:r>
    </w:p>
    <w:p w:rsidR="00581EE2" w:rsidRPr="00CA6EA4" w:rsidRDefault="00CA6EA4" w:rsidP="00CA6EA4">
      <w:pPr>
        <w:rPr>
          <w:b/>
        </w:rPr>
      </w:pPr>
      <w:r w:rsidRPr="00CA6EA4">
        <w:rPr>
          <w:b/>
        </w:rPr>
        <w:t>14</w:t>
      </w:r>
      <w:r w:rsidR="00581EE2" w:rsidRPr="00CA6EA4">
        <w:rPr>
          <w:b/>
        </w:rPr>
        <w:t xml:space="preserve"> AEGROTAT – TAUGHT PROGRAMMES </w:t>
      </w:r>
    </w:p>
    <w:p w:rsidR="00CA6EA4" w:rsidRPr="00CA6EA4" w:rsidRDefault="00CA6EA4" w:rsidP="00CA6EA4">
      <w:r w:rsidRPr="00CA6EA4">
        <w:t xml:space="preserve">14.1 </w:t>
      </w:r>
      <w:r w:rsidR="00581EE2" w:rsidRPr="00CA6EA4">
        <w:t>An Aegrotat award for incomplete study is an unclassified award that may be conferred in exceptional circumstances, such as in cases where a student's ability to complete an award is permanently compromised by severe illness once extenuating circumstances processes have been fully considered and followed as applicable.</w:t>
      </w:r>
    </w:p>
    <w:p w:rsidR="00581EE2" w:rsidRDefault="00CA6EA4" w:rsidP="00CA6EA4">
      <w:r w:rsidRPr="00CA6EA4">
        <w:t xml:space="preserve">14.2 </w:t>
      </w:r>
      <w:r w:rsidR="00581EE2" w:rsidRPr="00CA6EA4">
        <w:t>All Aegrotat awards are unclassified. All taught awards are available as Aegrotat awards, with the exception of Degrees which are subject to fitness to practice requirements which shall not be awarded Aegrotat awards. The PVC Education and Student Experience, and Chair of University Exam Board, may exercise their discretion to recommend conferment of an Aegrotat award where the appropriate criteria have been met.</w:t>
      </w:r>
    </w:p>
    <w:p w:rsidR="00CA6EA4" w:rsidRDefault="00CA6EA4" w:rsidP="00CA6EA4"/>
    <w:p w:rsidR="00CA6EA4" w:rsidRPr="00CA6EA4" w:rsidRDefault="00CA6EA4" w:rsidP="00CA6EA4"/>
    <w:p w:rsidR="00F01BF9" w:rsidRPr="00CA6EA4" w:rsidRDefault="00CA6EA4" w:rsidP="00CA6EA4">
      <w:pPr>
        <w:rPr>
          <w:b/>
        </w:rPr>
      </w:pPr>
      <w:r w:rsidRPr="00CA6EA4">
        <w:rPr>
          <w:b/>
        </w:rPr>
        <w:lastRenderedPageBreak/>
        <w:t>Regulation D2 Progression and Classification Rules</w:t>
      </w:r>
    </w:p>
    <w:p w:rsidR="00CA6EA4" w:rsidRPr="00CA6EA4" w:rsidRDefault="00CA6EA4" w:rsidP="00CA6EA4">
      <w:pPr>
        <w:rPr>
          <w:b/>
        </w:rPr>
      </w:pPr>
      <w:r w:rsidRPr="00CA6EA4">
        <w:rPr>
          <w:b/>
        </w:rPr>
        <w:t>6. POSTHUMOUS AND AEGROTAT AWARDS </w:t>
      </w:r>
    </w:p>
    <w:p w:rsidR="00CA6EA4" w:rsidRPr="00CA6EA4" w:rsidRDefault="00CA6EA4" w:rsidP="00CA6EA4">
      <w:pPr>
        <w:rPr>
          <w:b/>
        </w:rPr>
      </w:pPr>
      <w:r w:rsidRPr="00CA6EA4">
        <w:rPr>
          <w:b/>
        </w:rPr>
        <w:t>6.1 Posthumous Award</w:t>
      </w:r>
    </w:p>
    <w:p w:rsidR="00CA6EA4" w:rsidRPr="00CA6EA4" w:rsidRDefault="00CA6EA4" w:rsidP="00CA6EA4">
      <w:r w:rsidRPr="00CA6EA4">
        <w:t>6.1.1 Any taught award of the University may be conferred posthumously where the death of a student occurs prior to their completion of the requirements for their award. The award conferred in such circumstances will normally be as a minimum the next exit award for which the student would have been eligible, based on the stage of the programme of study they had commenced at the discretion of the Vice-Chancellor in their capacity as Chair of Senate. All posthumous awards are unclassified. </w:t>
      </w:r>
    </w:p>
    <w:p w:rsidR="00CA6EA4" w:rsidRPr="00CA6EA4" w:rsidRDefault="00CA6EA4" w:rsidP="00CA6EA4">
      <w:r w:rsidRPr="00CA6EA4">
        <w:t>6.1.2 If the death of a student occurs after they have completed all the requirements for an award the award will not be considered posthumous and will, therefore, be classified.</w:t>
      </w:r>
    </w:p>
    <w:p w:rsidR="00CA6EA4" w:rsidRPr="00CA6EA4" w:rsidRDefault="00CA6EA4" w:rsidP="00CA6EA4">
      <w:pPr>
        <w:rPr>
          <w:b/>
        </w:rPr>
      </w:pPr>
      <w:r w:rsidRPr="00CA6EA4">
        <w:rPr>
          <w:b/>
        </w:rPr>
        <w:t>6.2 Aegrotat Award</w:t>
      </w:r>
    </w:p>
    <w:p w:rsidR="00CA6EA4" w:rsidRPr="00CA6EA4" w:rsidRDefault="00CA6EA4" w:rsidP="00CA6EA4">
      <w:r w:rsidRPr="00CA6EA4">
        <w:t>6.2.1 An Aegrotat award for incomplete study is an unclassified award that may be conferred in exceptional circumstances, such as in cases where a student's ability to complete an award is permanently compromised by severe illness once the exceptional circumstances processes have been fully considered and followed as applicable. All taught awards are available as Aegrotat awards, with the exception of degrees which are subject to fitness to practice requirements. The Pro Vice-Chancellor in their capacity as Chair of University Exam Board may exercise their discretion to recommend conferment of an Aegrotat award. Acceptance of an Aegrotat award completes your study on a programme.</w:t>
      </w:r>
    </w:p>
    <w:p w:rsidR="00581EE2" w:rsidRPr="00CA6EA4" w:rsidRDefault="00581EE2" w:rsidP="00CA6EA4">
      <w:pPr>
        <w:spacing w:after="0"/>
        <w:rPr>
          <w:rFonts w:cstheme="minorHAnsi"/>
        </w:rPr>
      </w:pPr>
    </w:p>
    <w:sectPr w:rsidR="00581EE2" w:rsidRPr="00CA6EA4" w:rsidSect="00B163A9">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A4" w:rsidRDefault="00CA6EA4" w:rsidP="00350512">
      <w:pPr>
        <w:spacing w:after="0" w:line="240" w:lineRule="auto"/>
      </w:pPr>
      <w:r>
        <w:separator/>
      </w:r>
    </w:p>
  </w:endnote>
  <w:endnote w:type="continuationSeparator" w:id="0">
    <w:p w:rsidR="00CA6EA4" w:rsidRDefault="00CA6EA4" w:rsidP="0035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42977"/>
      <w:docPartObj>
        <w:docPartGallery w:val="Page Numbers (Bottom of Page)"/>
        <w:docPartUnique/>
      </w:docPartObj>
    </w:sdtPr>
    <w:sdtEndPr>
      <w:rPr>
        <w:noProof/>
      </w:rPr>
    </w:sdtEndPr>
    <w:sdtContent>
      <w:p w:rsidR="00CA6EA4" w:rsidRDefault="00CA6EA4">
        <w:pPr>
          <w:pStyle w:val="Footer"/>
          <w:jc w:val="right"/>
        </w:pPr>
        <w:r>
          <w:fldChar w:fldCharType="begin"/>
        </w:r>
        <w:r>
          <w:instrText xml:space="preserve"> PAGE   \* MERGEFORMAT </w:instrText>
        </w:r>
        <w:r>
          <w:fldChar w:fldCharType="separate"/>
        </w:r>
        <w:r w:rsidR="00A816A9">
          <w:rPr>
            <w:noProof/>
          </w:rPr>
          <w:t>5</w:t>
        </w:r>
        <w:r>
          <w:rPr>
            <w:noProof/>
          </w:rPr>
          <w:fldChar w:fldCharType="end"/>
        </w:r>
      </w:p>
    </w:sdtContent>
  </w:sdt>
  <w:p w:rsidR="00CA6EA4" w:rsidRPr="003C27B4" w:rsidRDefault="00CA6EA4">
    <w:pPr>
      <w:pStyle w:val="Footer"/>
      <w:rPr>
        <w:sz w:val="20"/>
      </w:rPr>
    </w:pPr>
    <w:r>
      <w:rPr>
        <w:sz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A4" w:rsidRDefault="00CA6EA4" w:rsidP="00350512">
      <w:pPr>
        <w:spacing w:after="0" w:line="240" w:lineRule="auto"/>
      </w:pPr>
      <w:r>
        <w:separator/>
      </w:r>
    </w:p>
  </w:footnote>
  <w:footnote w:type="continuationSeparator" w:id="0">
    <w:p w:rsidR="00CA6EA4" w:rsidRDefault="00CA6EA4" w:rsidP="0035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A4" w:rsidRPr="00581EE2" w:rsidRDefault="00CA6EA4" w:rsidP="00581EE2">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EC9"/>
    <w:multiLevelType w:val="multilevel"/>
    <w:tmpl w:val="C5CCC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14FA4"/>
    <w:multiLevelType w:val="hybridMultilevel"/>
    <w:tmpl w:val="1ADCE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A0298"/>
    <w:multiLevelType w:val="hybridMultilevel"/>
    <w:tmpl w:val="4990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15B5E"/>
    <w:multiLevelType w:val="hybridMultilevel"/>
    <w:tmpl w:val="C41C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16BDB"/>
    <w:multiLevelType w:val="hybridMultilevel"/>
    <w:tmpl w:val="E6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62753"/>
    <w:multiLevelType w:val="multilevel"/>
    <w:tmpl w:val="B02E7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C5150"/>
    <w:multiLevelType w:val="multilevel"/>
    <w:tmpl w:val="4E102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03150F"/>
    <w:multiLevelType w:val="hybridMultilevel"/>
    <w:tmpl w:val="1FEA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A68C6"/>
    <w:multiLevelType w:val="multilevel"/>
    <w:tmpl w:val="A49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6F"/>
    <w:rsid w:val="00023636"/>
    <w:rsid w:val="00034B5B"/>
    <w:rsid w:val="00037D73"/>
    <w:rsid w:val="000476CC"/>
    <w:rsid w:val="000C5A4C"/>
    <w:rsid w:val="000E0236"/>
    <w:rsid w:val="00102433"/>
    <w:rsid w:val="00107E2E"/>
    <w:rsid w:val="001405E0"/>
    <w:rsid w:val="0014456F"/>
    <w:rsid w:val="00163554"/>
    <w:rsid w:val="001B5F05"/>
    <w:rsid w:val="001D42C7"/>
    <w:rsid w:val="001D5EC3"/>
    <w:rsid w:val="001E4EF3"/>
    <w:rsid w:val="001F1F22"/>
    <w:rsid w:val="002064DA"/>
    <w:rsid w:val="0022786C"/>
    <w:rsid w:val="0024535C"/>
    <w:rsid w:val="00256589"/>
    <w:rsid w:val="002B1D6C"/>
    <w:rsid w:val="002E58A6"/>
    <w:rsid w:val="00350512"/>
    <w:rsid w:val="003524EC"/>
    <w:rsid w:val="00353162"/>
    <w:rsid w:val="00380F18"/>
    <w:rsid w:val="003A49E9"/>
    <w:rsid w:val="003A4A69"/>
    <w:rsid w:val="003B2501"/>
    <w:rsid w:val="003C27B4"/>
    <w:rsid w:val="00425780"/>
    <w:rsid w:val="00446F8E"/>
    <w:rsid w:val="00455DB2"/>
    <w:rsid w:val="0047311E"/>
    <w:rsid w:val="00475AD9"/>
    <w:rsid w:val="0048730B"/>
    <w:rsid w:val="004F5D6E"/>
    <w:rsid w:val="005122E5"/>
    <w:rsid w:val="00555706"/>
    <w:rsid w:val="005706BE"/>
    <w:rsid w:val="00580B0F"/>
    <w:rsid w:val="00581EE2"/>
    <w:rsid w:val="005B42E6"/>
    <w:rsid w:val="005D3364"/>
    <w:rsid w:val="005F423B"/>
    <w:rsid w:val="005F5D84"/>
    <w:rsid w:val="00641EAB"/>
    <w:rsid w:val="006536E0"/>
    <w:rsid w:val="006A4D79"/>
    <w:rsid w:val="006B6E96"/>
    <w:rsid w:val="006D1598"/>
    <w:rsid w:val="007055F8"/>
    <w:rsid w:val="00707E61"/>
    <w:rsid w:val="007B440F"/>
    <w:rsid w:val="007E5400"/>
    <w:rsid w:val="007F0A57"/>
    <w:rsid w:val="00803E73"/>
    <w:rsid w:val="00817FE8"/>
    <w:rsid w:val="0082265C"/>
    <w:rsid w:val="00825EE6"/>
    <w:rsid w:val="008535D5"/>
    <w:rsid w:val="008972F4"/>
    <w:rsid w:val="008A3687"/>
    <w:rsid w:val="008B059F"/>
    <w:rsid w:val="009157B9"/>
    <w:rsid w:val="00920679"/>
    <w:rsid w:val="00950F96"/>
    <w:rsid w:val="0095456F"/>
    <w:rsid w:val="00962567"/>
    <w:rsid w:val="00992000"/>
    <w:rsid w:val="00997E37"/>
    <w:rsid w:val="009B241A"/>
    <w:rsid w:val="009E2D3B"/>
    <w:rsid w:val="00A01870"/>
    <w:rsid w:val="00A2309D"/>
    <w:rsid w:val="00A4138E"/>
    <w:rsid w:val="00A50F55"/>
    <w:rsid w:val="00A71389"/>
    <w:rsid w:val="00A816A9"/>
    <w:rsid w:val="00B14948"/>
    <w:rsid w:val="00B163A9"/>
    <w:rsid w:val="00B21EF2"/>
    <w:rsid w:val="00B52919"/>
    <w:rsid w:val="00B53A22"/>
    <w:rsid w:val="00B7526C"/>
    <w:rsid w:val="00B853EB"/>
    <w:rsid w:val="00BF211E"/>
    <w:rsid w:val="00C058D1"/>
    <w:rsid w:val="00C605A2"/>
    <w:rsid w:val="00C86DB6"/>
    <w:rsid w:val="00C95E95"/>
    <w:rsid w:val="00CA583C"/>
    <w:rsid w:val="00CA6EA4"/>
    <w:rsid w:val="00CB29C3"/>
    <w:rsid w:val="00CC1A56"/>
    <w:rsid w:val="00CF49A5"/>
    <w:rsid w:val="00CF7C0B"/>
    <w:rsid w:val="00D020B0"/>
    <w:rsid w:val="00D10196"/>
    <w:rsid w:val="00D27D9B"/>
    <w:rsid w:val="00D8640B"/>
    <w:rsid w:val="00DB0379"/>
    <w:rsid w:val="00E01A6A"/>
    <w:rsid w:val="00E160CE"/>
    <w:rsid w:val="00E3726D"/>
    <w:rsid w:val="00E43D6D"/>
    <w:rsid w:val="00E53F82"/>
    <w:rsid w:val="00E67A72"/>
    <w:rsid w:val="00EB44D0"/>
    <w:rsid w:val="00EB77E9"/>
    <w:rsid w:val="00F01BF9"/>
    <w:rsid w:val="00F10A13"/>
    <w:rsid w:val="00F14518"/>
    <w:rsid w:val="00F3312E"/>
    <w:rsid w:val="00F3617C"/>
    <w:rsid w:val="00F51F55"/>
    <w:rsid w:val="00F86322"/>
    <w:rsid w:val="00F90D57"/>
    <w:rsid w:val="00FA0050"/>
    <w:rsid w:val="00FA2AD2"/>
    <w:rsid w:val="00FA37A4"/>
    <w:rsid w:val="00FC1A82"/>
    <w:rsid w:val="00FD5424"/>
    <w:rsid w:val="00FE0F47"/>
    <w:rsid w:val="00FE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CBC1"/>
  <w15:docId w15:val="{F3A55A92-5084-4EB0-80D2-BECC67D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0B"/>
    <w:pPr>
      <w:ind w:left="720"/>
      <w:contextualSpacing/>
    </w:pPr>
  </w:style>
  <w:style w:type="table" w:styleId="TableGrid">
    <w:name w:val="Table Grid"/>
    <w:basedOn w:val="TableNormal"/>
    <w:uiPriority w:val="59"/>
    <w:rsid w:val="0035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512"/>
  </w:style>
  <w:style w:type="paragraph" w:styleId="Footer">
    <w:name w:val="footer"/>
    <w:basedOn w:val="Normal"/>
    <w:link w:val="FooterChar"/>
    <w:uiPriority w:val="99"/>
    <w:unhideWhenUsed/>
    <w:rsid w:val="00350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512"/>
  </w:style>
  <w:style w:type="character" w:styleId="Strong">
    <w:name w:val="Strong"/>
    <w:basedOn w:val="DefaultParagraphFont"/>
    <w:uiPriority w:val="22"/>
    <w:qFormat/>
    <w:rsid w:val="0047311E"/>
    <w:rPr>
      <w:b/>
      <w:bCs/>
    </w:rPr>
  </w:style>
  <w:style w:type="character" w:customStyle="1" w:styleId="apple-converted-space">
    <w:name w:val="apple-converted-space"/>
    <w:basedOn w:val="DefaultParagraphFont"/>
    <w:rsid w:val="0047311E"/>
  </w:style>
  <w:style w:type="character" w:styleId="Emphasis">
    <w:name w:val="Emphasis"/>
    <w:basedOn w:val="DefaultParagraphFont"/>
    <w:uiPriority w:val="20"/>
    <w:qFormat/>
    <w:rsid w:val="0047311E"/>
    <w:rPr>
      <w:i/>
      <w:iCs/>
    </w:rPr>
  </w:style>
  <w:style w:type="paragraph" w:styleId="BalloonText">
    <w:name w:val="Balloon Text"/>
    <w:basedOn w:val="Normal"/>
    <w:link w:val="BalloonTextChar"/>
    <w:uiPriority w:val="99"/>
    <w:semiHidden/>
    <w:unhideWhenUsed/>
    <w:rsid w:val="0070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F8"/>
    <w:rPr>
      <w:rFonts w:ascii="Tahoma" w:hAnsi="Tahoma" w:cs="Tahoma"/>
      <w:sz w:val="16"/>
      <w:szCs w:val="16"/>
    </w:rPr>
  </w:style>
  <w:style w:type="character" w:styleId="CommentReference">
    <w:name w:val="annotation reference"/>
    <w:basedOn w:val="DefaultParagraphFont"/>
    <w:uiPriority w:val="99"/>
    <w:semiHidden/>
    <w:unhideWhenUsed/>
    <w:rsid w:val="00C058D1"/>
    <w:rPr>
      <w:sz w:val="16"/>
      <w:szCs w:val="16"/>
    </w:rPr>
  </w:style>
  <w:style w:type="paragraph" w:styleId="CommentText">
    <w:name w:val="annotation text"/>
    <w:basedOn w:val="Normal"/>
    <w:link w:val="CommentTextChar"/>
    <w:uiPriority w:val="99"/>
    <w:semiHidden/>
    <w:unhideWhenUsed/>
    <w:rsid w:val="00C058D1"/>
    <w:pPr>
      <w:spacing w:line="240" w:lineRule="auto"/>
    </w:pPr>
    <w:rPr>
      <w:sz w:val="20"/>
      <w:szCs w:val="20"/>
    </w:rPr>
  </w:style>
  <w:style w:type="character" w:customStyle="1" w:styleId="CommentTextChar">
    <w:name w:val="Comment Text Char"/>
    <w:basedOn w:val="DefaultParagraphFont"/>
    <w:link w:val="CommentText"/>
    <w:uiPriority w:val="99"/>
    <w:semiHidden/>
    <w:rsid w:val="00C058D1"/>
    <w:rPr>
      <w:sz w:val="20"/>
      <w:szCs w:val="20"/>
    </w:rPr>
  </w:style>
  <w:style w:type="paragraph" w:styleId="CommentSubject">
    <w:name w:val="annotation subject"/>
    <w:basedOn w:val="CommentText"/>
    <w:next w:val="CommentText"/>
    <w:link w:val="CommentSubjectChar"/>
    <w:uiPriority w:val="99"/>
    <w:semiHidden/>
    <w:unhideWhenUsed/>
    <w:rsid w:val="00C058D1"/>
    <w:rPr>
      <w:b/>
      <w:bCs/>
    </w:rPr>
  </w:style>
  <w:style w:type="character" w:customStyle="1" w:styleId="CommentSubjectChar">
    <w:name w:val="Comment Subject Char"/>
    <w:basedOn w:val="CommentTextChar"/>
    <w:link w:val="CommentSubject"/>
    <w:uiPriority w:val="99"/>
    <w:semiHidden/>
    <w:rsid w:val="00C058D1"/>
    <w:rPr>
      <w:b/>
      <w:bCs/>
      <w:sz w:val="20"/>
      <w:szCs w:val="20"/>
    </w:rPr>
  </w:style>
  <w:style w:type="paragraph" w:styleId="NoSpacing">
    <w:name w:val="No Spacing"/>
    <w:uiPriority w:val="1"/>
    <w:qFormat/>
    <w:rsid w:val="000C5A4C"/>
    <w:pPr>
      <w:spacing w:after="0" w:line="240" w:lineRule="auto"/>
    </w:pPr>
  </w:style>
  <w:style w:type="paragraph" w:styleId="NormalWeb">
    <w:name w:val="Normal (Web)"/>
    <w:basedOn w:val="Normal"/>
    <w:uiPriority w:val="99"/>
    <w:semiHidden/>
    <w:unhideWhenUsed/>
    <w:rsid w:val="00CA6E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030">
      <w:bodyDiv w:val="1"/>
      <w:marLeft w:val="0"/>
      <w:marRight w:val="0"/>
      <w:marTop w:val="0"/>
      <w:marBottom w:val="0"/>
      <w:divBdr>
        <w:top w:val="none" w:sz="0" w:space="0" w:color="auto"/>
        <w:left w:val="none" w:sz="0" w:space="0" w:color="auto"/>
        <w:bottom w:val="none" w:sz="0" w:space="0" w:color="auto"/>
        <w:right w:val="none" w:sz="0" w:space="0" w:color="auto"/>
      </w:divBdr>
    </w:div>
    <w:div w:id="751581175">
      <w:bodyDiv w:val="1"/>
      <w:marLeft w:val="0"/>
      <w:marRight w:val="0"/>
      <w:marTop w:val="0"/>
      <w:marBottom w:val="0"/>
      <w:divBdr>
        <w:top w:val="none" w:sz="0" w:space="0" w:color="auto"/>
        <w:left w:val="none" w:sz="0" w:space="0" w:color="auto"/>
        <w:bottom w:val="none" w:sz="0" w:space="0" w:color="auto"/>
        <w:right w:val="none" w:sz="0" w:space="0" w:color="auto"/>
      </w:divBdr>
    </w:div>
    <w:div w:id="839467087">
      <w:bodyDiv w:val="1"/>
      <w:marLeft w:val="0"/>
      <w:marRight w:val="0"/>
      <w:marTop w:val="0"/>
      <w:marBottom w:val="0"/>
      <w:divBdr>
        <w:top w:val="none" w:sz="0" w:space="0" w:color="auto"/>
        <w:left w:val="none" w:sz="0" w:space="0" w:color="auto"/>
        <w:bottom w:val="none" w:sz="0" w:space="0" w:color="auto"/>
        <w:right w:val="none" w:sz="0" w:space="0" w:color="auto"/>
      </w:divBdr>
    </w:div>
    <w:div w:id="956646017">
      <w:bodyDiv w:val="1"/>
      <w:marLeft w:val="0"/>
      <w:marRight w:val="0"/>
      <w:marTop w:val="0"/>
      <w:marBottom w:val="0"/>
      <w:divBdr>
        <w:top w:val="none" w:sz="0" w:space="0" w:color="auto"/>
        <w:left w:val="none" w:sz="0" w:space="0" w:color="auto"/>
        <w:bottom w:val="none" w:sz="0" w:space="0" w:color="auto"/>
        <w:right w:val="none" w:sz="0" w:space="0" w:color="auto"/>
      </w:divBdr>
    </w:div>
    <w:div w:id="1242328032">
      <w:bodyDiv w:val="1"/>
      <w:marLeft w:val="0"/>
      <w:marRight w:val="0"/>
      <w:marTop w:val="0"/>
      <w:marBottom w:val="0"/>
      <w:divBdr>
        <w:top w:val="none" w:sz="0" w:space="0" w:color="auto"/>
        <w:left w:val="none" w:sz="0" w:space="0" w:color="auto"/>
        <w:bottom w:val="none" w:sz="0" w:space="0" w:color="auto"/>
        <w:right w:val="none" w:sz="0" w:space="0" w:color="auto"/>
      </w:divBdr>
    </w:div>
    <w:div w:id="1317881638">
      <w:bodyDiv w:val="1"/>
      <w:marLeft w:val="0"/>
      <w:marRight w:val="0"/>
      <w:marTop w:val="0"/>
      <w:marBottom w:val="0"/>
      <w:divBdr>
        <w:top w:val="none" w:sz="0" w:space="0" w:color="auto"/>
        <w:left w:val="none" w:sz="0" w:space="0" w:color="auto"/>
        <w:bottom w:val="none" w:sz="0" w:space="0" w:color="auto"/>
        <w:right w:val="none" w:sz="0" w:space="0" w:color="auto"/>
      </w:divBdr>
    </w:div>
    <w:div w:id="1481271985">
      <w:bodyDiv w:val="1"/>
      <w:marLeft w:val="0"/>
      <w:marRight w:val="0"/>
      <w:marTop w:val="0"/>
      <w:marBottom w:val="0"/>
      <w:divBdr>
        <w:top w:val="none" w:sz="0" w:space="0" w:color="auto"/>
        <w:left w:val="none" w:sz="0" w:space="0" w:color="auto"/>
        <w:bottom w:val="none" w:sz="0" w:space="0" w:color="auto"/>
        <w:right w:val="none" w:sz="0" w:space="0" w:color="auto"/>
      </w:divBdr>
    </w:div>
    <w:div w:id="1598638445">
      <w:bodyDiv w:val="1"/>
      <w:marLeft w:val="0"/>
      <w:marRight w:val="0"/>
      <w:marTop w:val="0"/>
      <w:marBottom w:val="0"/>
      <w:divBdr>
        <w:top w:val="none" w:sz="0" w:space="0" w:color="auto"/>
        <w:left w:val="none" w:sz="0" w:space="0" w:color="auto"/>
        <w:bottom w:val="none" w:sz="0" w:space="0" w:color="auto"/>
        <w:right w:val="none" w:sz="0" w:space="0" w:color="auto"/>
      </w:divBdr>
    </w:div>
    <w:div w:id="1599218730">
      <w:bodyDiv w:val="1"/>
      <w:marLeft w:val="0"/>
      <w:marRight w:val="0"/>
      <w:marTop w:val="0"/>
      <w:marBottom w:val="0"/>
      <w:divBdr>
        <w:top w:val="none" w:sz="0" w:space="0" w:color="auto"/>
        <w:left w:val="none" w:sz="0" w:space="0" w:color="auto"/>
        <w:bottom w:val="none" w:sz="0" w:space="0" w:color="auto"/>
        <w:right w:val="none" w:sz="0" w:space="0" w:color="auto"/>
      </w:divBdr>
      <w:divsChild>
        <w:div w:id="86007557">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sChild>
                <w:div w:id="648443997">
                  <w:marLeft w:val="0"/>
                  <w:marRight w:val="0"/>
                  <w:marTop w:val="0"/>
                  <w:marBottom w:val="0"/>
                  <w:divBdr>
                    <w:top w:val="none" w:sz="0" w:space="0" w:color="auto"/>
                    <w:left w:val="none" w:sz="0" w:space="0" w:color="auto"/>
                    <w:bottom w:val="none" w:sz="0" w:space="0" w:color="auto"/>
                    <w:right w:val="none" w:sz="0" w:space="0" w:color="auto"/>
                  </w:divBdr>
                  <w:divsChild>
                    <w:div w:id="1754202894">
                      <w:marLeft w:val="0"/>
                      <w:marRight w:val="0"/>
                      <w:marTop w:val="0"/>
                      <w:marBottom w:val="0"/>
                      <w:divBdr>
                        <w:top w:val="none" w:sz="0" w:space="0" w:color="auto"/>
                        <w:left w:val="none" w:sz="0" w:space="0" w:color="auto"/>
                        <w:bottom w:val="none" w:sz="0" w:space="0" w:color="auto"/>
                        <w:right w:val="none" w:sz="0" w:space="0" w:color="auto"/>
                      </w:divBdr>
                      <w:divsChild>
                        <w:div w:id="1394889680">
                          <w:marLeft w:val="0"/>
                          <w:marRight w:val="0"/>
                          <w:marTop w:val="0"/>
                          <w:marBottom w:val="0"/>
                          <w:divBdr>
                            <w:top w:val="none" w:sz="0" w:space="0" w:color="auto"/>
                            <w:left w:val="none" w:sz="0" w:space="0" w:color="auto"/>
                            <w:bottom w:val="none" w:sz="0" w:space="0" w:color="auto"/>
                            <w:right w:val="none" w:sz="0" w:space="0" w:color="auto"/>
                          </w:divBdr>
                          <w:divsChild>
                            <w:div w:id="1654141204">
                              <w:marLeft w:val="0"/>
                              <w:marRight w:val="0"/>
                              <w:marTop w:val="0"/>
                              <w:marBottom w:val="0"/>
                              <w:divBdr>
                                <w:top w:val="none" w:sz="0" w:space="0" w:color="auto"/>
                                <w:left w:val="none" w:sz="0" w:space="0" w:color="auto"/>
                                <w:bottom w:val="none" w:sz="0" w:space="0" w:color="auto"/>
                                <w:right w:val="none" w:sz="0" w:space="0" w:color="auto"/>
                              </w:divBdr>
                              <w:divsChild>
                                <w:div w:id="341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7CC7-FA17-4874-A617-2237E276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F4BBB497</Template>
  <TotalTime>250</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Laura Harrison</cp:lastModifiedBy>
  <cp:revision>10</cp:revision>
  <cp:lastPrinted>2015-05-22T09:19:00Z</cp:lastPrinted>
  <dcterms:created xsi:type="dcterms:W3CDTF">2015-07-20T10:21:00Z</dcterms:created>
  <dcterms:modified xsi:type="dcterms:W3CDTF">2019-09-25T10:03:00Z</dcterms:modified>
</cp:coreProperties>
</file>